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CEFC71" w14:textId="544676B3" w:rsidR="00C53E09" w:rsidRPr="00C53E09" w:rsidRDefault="00C53E09" w:rsidP="00C53E09">
      <w:pPr>
        <w:spacing w:after="0" w:line="240" w:lineRule="auto"/>
        <w:jc w:val="center"/>
        <w:rPr>
          <w:rFonts w:ascii="Helvetica" w:eastAsia="Times New Roman" w:hAnsi="Helvetica" w:cs="Helvetica"/>
          <w:b/>
          <w:bCs/>
          <w:color w:val="0070C0"/>
          <w:sz w:val="24"/>
          <w:szCs w:val="24"/>
          <w:shd w:val="clear" w:color="auto" w:fill="FFFFFF"/>
        </w:rPr>
      </w:pPr>
      <w:r w:rsidRPr="00C53E09">
        <w:rPr>
          <w:rFonts w:ascii="Helvetica" w:eastAsia="Times New Roman" w:hAnsi="Helvetica" w:cs="Helvetica"/>
          <w:b/>
          <w:bCs/>
          <w:color w:val="0070C0"/>
          <w:sz w:val="24"/>
          <w:szCs w:val="24"/>
          <w:shd w:val="clear" w:color="auto" w:fill="FFFFFF"/>
        </w:rPr>
        <w:t>Basic Needs for Postsecondary Students Program (84.116N)</w:t>
      </w:r>
    </w:p>
    <w:p w14:paraId="2E449163" w14:textId="5592310B" w:rsidR="00C53E09" w:rsidRPr="00C53E09" w:rsidRDefault="00C53E09" w:rsidP="00C53E09">
      <w:pPr>
        <w:spacing w:after="0" w:line="240" w:lineRule="auto"/>
        <w:jc w:val="center"/>
        <w:rPr>
          <w:rFonts w:ascii="Helvetica" w:eastAsia="Times New Roman" w:hAnsi="Helvetica" w:cs="Helvetica"/>
          <w:b/>
          <w:bCs/>
          <w:color w:val="0070C0"/>
          <w:sz w:val="40"/>
          <w:szCs w:val="40"/>
          <w:shd w:val="clear" w:color="auto" w:fill="FFFFFF"/>
        </w:rPr>
      </w:pPr>
      <w:r w:rsidRPr="00C53E09">
        <w:rPr>
          <w:rFonts w:ascii="Helvetica" w:eastAsia="Times New Roman" w:hAnsi="Helvetica" w:cs="Helvetica"/>
          <w:b/>
          <w:bCs/>
          <w:color w:val="0070C0"/>
          <w:sz w:val="40"/>
          <w:szCs w:val="40"/>
          <w:shd w:val="clear" w:color="auto" w:fill="FFFFFF"/>
        </w:rPr>
        <w:t>FAQs</w:t>
      </w:r>
    </w:p>
    <w:p w14:paraId="1A21BB7A" w14:textId="77777777" w:rsidR="00C53E09" w:rsidRDefault="00C53E09" w:rsidP="00DF11C0">
      <w:pPr>
        <w:spacing w:after="0" w:line="240" w:lineRule="auto"/>
        <w:rPr>
          <w:rFonts w:ascii="Helvetica" w:eastAsia="Times New Roman" w:hAnsi="Helvetica" w:cs="Helvetica"/>
          <w:b/>
          <w:bCs/>
          <w:color w:val="2D8700"/>
          <w:sz w:val="21"/>
          <w:szCs w:val="21"/>
          <w:shd w:val="clear" w:color="auto" w:fill="FFFFFF"/>
        </w:rPr>
      </w:pPr>
    </w:p>
    <w:p w14:paraId="72DB7C03" w14:textId="07B732BA" w:rsidR="00DF11C0" w:rsidRPr="00DF11C0" w:rsidRDefault="00DF11C0" w:rsidP="00DF11C0">
      <w:pPr>
        <w:spacing w:after="0" w:line="240" w:lineRule="auto"/>
        <w:rPr>
          <w:rFonts w:ascii="Helvetica" w:eastAsia="Times New Roman" w:hAnsi="Helvetica" w:cs="Helvetica"/>
          <w:color w:val="030A13"/>
          <w:sz w:val="21"/>
          <w:szCs w:val="21"/>
          <w:shd w:val="clear" w:color="auto" w:fill="FFFFFF"/>
        </w:rPr>
      </w:pPr>
      <w:r w:rsidRPr="00DF11C0">
        <w:rPr>
          <w:rFonts w:ascii="Helvetica" w:eastAsia="Times New Roman" w:hAnsi="Helvetica" w:cs="Helvetica"/>
          <w:b/>
          <w:bCs/>
          <w:color w:val="2D8700"/>
          <w:sz w:val="21"/>
          <w:szCs w:val="21"/>
          <w:shd w:val="clear" w:color="auto" w:fill="FFFFFF"/>
        </w:rPr>
        <w:t>1. Who is eligible to apply?</w:t>
      </w:r>
      <w:r w:rsidRPr="00DF11C0">
        <w:rPr>
          <w:rFonts w:ascii="Helvetica" w:eastAsia="Times New Roman" w:hAnsi="Helvetica" w:cs="Helvetica"/>
          <w:color w:val="030A13"/>
          <w:sz w:val="21"/>
          <w:szCs w:val="21"/>
        </w:rPr>
        <w:br/>
      </w:r>
    </w:p>
    <w:p w14:paraId="69317579" w14:textId="13DA3FC2" w:rsidR="00DF11C0" w:rsidRDefault="00DF11C0" w:rsidP="00DF11C0">
      <w:pPr>
        <w:spacing w:after="150" w:line="240" w:lineRule="auto"/>
        <w:rPr>
          <w:rFonts w:ascii="Helvetica" w:eastAsia="Times New Roman" w:hAnsi="Helvetica" w:cs="Helvetica"/>
          <w:color w:val="030A13"/>
          <w:sz w:val="21"/>
          <w:szCs w:val="21"/>
          <w:shd w:val="clear" w:color="auto" w:fill="FFFFFF"/>
        </w:rPr>
      </w:pPr>
      <w:r w:rsidRPr="00DF11C0">
        <w:rPr>
          <w:rFonts w:ascii="Helvetica" w:eastAsia="Times New Roman" w:hAnsi="Helvetica" w:cs="Helvetica"/>
          <w:color w:val="030A13"/>
          <w:sz w:val="21"/>
          <w:szCs w:val="21"/>
          <w:shd w:val="clear" w:color="auto" w:fill="FFFFFF"/>
        </w:rPr>
        <w:t>Any Community College (as defined in the Notice Inviting Applications) and 2- and 4-year public and private Historically Black Colleges and Universities (as defined in the Notice Inviting Applications), Tribal Colleges and Universities (as defined in the Notice Inviting Applications), and other Minority-Serving Institutions (as defined in the Notice Inviting Applications).</w:t>
      </w:r>
    </w:p>
    <w:p w14:paraId="58A69600" w14:textId="77777777" w:rsidR="00771196" w:rsidRDefault="00771196" w:rsidP="00771196">
      <w:pPr>
        <w:rPr>
          <w:rFonts w:ascii="Helvetica" w:eastAsia="Times New Roman" w:hAnsi="Helvetica" w:cs="Helvetica"/>
          <w:color w:val="030A13"/>
          <w:sz w:val="21"/>
          <w:szCs w:val="21"/>
          <w:shd w:val="clear" w:color="auto" w:fill="FFFFFF"/>
        </w:rPr>
      </w:pPr>
    </w:p>
    <w:p w14:paraId="1F038294" w14:textId="09D573F1" w:rsidR="00771196" w:rsidRPr="00771196" w:rsidRDefault="00771196" w:rsidP="00771196">
      <w:pPr>
        <w:rPr>
          <w:rFonts w:ascii="Times New Roman" w:hAnsi="Times New Roman" w:cs="Times New Roman"/>
          <w:b/>
          <w:bCs/>
          <w:color w:val="538135" w:themeColor="accent6" w:themeShade="BF"/>
        </w:rPr>
      </w:pPr>
      <w:r w:rsidRPr="00771196">
        <w:rPr>
          <w:rFonts w:ascii="Helvetica" w:eastAsia="Times New Roman" w:hAnsi="Helvetica" w:cs="Helvetica"/>
          <w:b/>
          <w:bCs/>
          <w:color w:val="538135" w:themeColor="accent6" w:themeShade="BF"/>
          <w:sz w:val="21"/>
          <w:szCs w:val="21"/>
          <w:shd w:val="clear" w:color="auto" w:fill="FFFFFF"/>
        </w:rPr>
        <w:t xml:space="preserve">2. </w:t>
      </w:r>
      <w:r w:rsidRPr="00771196">
        <w:rPr>
          <w:rFonts w:ascii="Times New Roman" w:hAnsi="Times New Roman" w:cs="Times New Roman"/>
          <w:b/>
          <w:bCs/>
          <w:color w:val="538135" w:themeColor="accent6" w:themeShade="BF"/>
        </w:rPr>
        <w:t>Can students apply for a grant under this program?</w:t>
      </w:r>
    </w:p>
    <w:p w14:paraId="36CCAE93" w14:textId="1F3970B0" w:rsidR="00771196" w:rsidRPr="00DF11C0" w:rsidRDefault="00771196" w:rsidP="00771196">
      <w:pPr>
        <w:spacing w:after="150" w:line="240" w:lineRule="auto"/>
        <w:rPr>
          <w:rFonts w:ascii="Times New Roman" w:eastAsia="Times New Roman" w:hAnsi="Times New Roman" w:cs="Times New Roman"/>
          <w:sz w:val="24"/>
          <w:szCs w:val="24"/>
        </w:rPr>
      </w:pPr>
      <w:r w:rsidRPr="001D27B6">
        <w:rPr>
          <w:rFonts w:ascii="Times New Roman" w:hAnsi="Times New Roman" w:cs="Times New Roman"/>
        </w:rPr>
        <w:t xml:space="preserve">No. Only </w:t>
      </w:r>
      <w:r>
        <w:rPr>
          <w:rFonts w:ascii="Times New Roman" w:hAnsi="Times New Roman" w:cs="Times New Roman"/>
        </w:rPr>
        <w:t>eligible I</w:t>
      </w:r>
      <w:r w:rsidRPr="001D27B6">
        <w:rPr>
          <w:rFonts w:ascii="Times New Roman" w:hAnsi="Times New Roman" w:cs="Times New Roman"/>
        </w:rPr>
        <w:t xml:space="preserve">nstitutions of </w:t>
      </w:r>
      <w:r>
        <w:rPr>
          <w:rFonts w:ascii="Times New Roman" w:hAnsi="Times New Roman" w:cs="Times New Roman"/>
        </w:rPr>
        <w:t>H</w:t>
      </w:r>
      <w:r w:rsidRPr="001D27B6">
        <w:rPr>
          <w:rFonts w:ascii="Times New Roman" w:hAnsi="Times New Roman" w:cs="Times New Roman"/>
        </w:rPr>
        <w:t xml:space="preserve">igher </w:t>
      </w:r>
      <w:r>
        <w:rPr>
          <w:rFonts w:ascii="Times New Roman" w:hAnsi="Times New Roman" w:cs="Times New Roman"/>
        </w:rPr>
        <w:t>E</w:t>
      </w:r>
      <w:r w:rsidRPr="001D27B6">
        <w:rPr>
          <w:rFonts w:ascii="Times New Roman" w:hAnsi="Times New Roman" w:cs="Times New Roman"/>
        </w:rPr>
        <w:t>ducation</w:t>
      </w:r>
      <w:r>
        <w:rPr>
          <w:rFonts w:ascii="Times New Roman" w:hAnsi="Times New Roman" w:cs="Times New Roman"/>
        </w:rPr>
        <w:t xml:space="preserve"> (IHEs)</w:t>
      </w:r>
      <w:r w:rsidRPr="001D27B6">
        <w:rPr>
          <w:rFonts w:ascii="Times New Roman" w:hAnsi="Times New Roman" w:cs="Times New Roman"/>
        </w:rPr>
        <w:t xml:space="preserve"> are eligible to apply</w:t>
      </w:r>
    </w:p>
    <w:p w14:paraId="2974A2DC" w14:textId="24C2066C" w:rsidR="00DF11C0" w:rsidRPr="00DF11C0" w:rsidRDefault="00DF11C0" w:rsidP="00DF11C0">
      <w:pPr>
        <w:spacing w:after="0" w:line="240" w:lineRule="auto"/>
        <w:rPr>
          <w:rFonts w:ascii="Times New Roman" w:eastAsia="Times New Roman" w:hAnsi="Times New Roman" w:cs="Times New Roman"/>
          <w:sz w:val="24"/>
          <w:szCs w:val="24"/>
        </w:rPr>
      </w:pPr>
      <w:r w:rsidRPr="00DF11C0">
        <w:rPr>
          <w:rFonts w:ascii="Helvetica" w:eastAsia="Times New Roman" w:hAnsi="Helvetica" w:cs="Helvetica"/>
          <w:color w:val="030A13"/>
          <w:sz w:val="21"/>
          <w:szCs w:val="21"/>
        </w:rPr>
        <w:br/>
      </w:r>
      <w:r w:rsidRPr="00DF11C0">
        <w:rPr>
          <w:rFonts w:ascii="Times New Roman" w:eastAsia="Times New Roman" w:hAnsi="Times New Roman" w:cs="Times New Roman"/>
          <w:noProof/>
          <w:sz w:val="24"/>
          <w:szCs w:val="24"/>
        </w:rPr>
        <w:drawing>
          <wp:inline distT="0" distB="0" distL="0" distR="0" wp14:anchorId="5DCA0F4A" wp14:editId="71643031">
            <wp:extent cx="3568700" cy="6350"/>
            <wp:effectExtent l="0" t="0" r="0" b="0"/>
            <wp:docPr id="3" name="Picture 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68700" cy="6350"/>
                    </a:xfrm>
                    <a:prstGeom prst="rect">
                      <a:avLst/>
                    </a:prstGeom>
                    <a:noFill/>
                    <a:ln>
                      <a:noFill/>
                    </a:ln>
                  </pic:spPr>
                </pic:pic>
              </a:graphicData>
            </a:graphic>
          </wp:inline>
        </w:drawing>
      </w:r>
      <w:r w:rsidRPr="00DF11C0">
        <w:rPr>
          <w:rFonts w:ascii="Helvetica" w:eastAsia="Times New Roman" w:hAnsi="Helvetica" w:cs="Helvetica"/>
          <w:color w:val="030A13"/>
          <w:sz w:val="21"/>
          <w:szCs w:val="21"/>
        </w:rPr>
        <w:br/>
      </w:r>
      <w:bookmarkStart w:id="0" w:name="q2"/>
      <w:bookmarkEnd w:id="0"/>
      <w:r w:rsidR="00771196">
        <w:rPr>
          <w:rFonts w:ascii="Helvetica" w:eastAsia="Times New Roman" w:hAnsi="Helvetica" w:cs="Helvetica"/>
          <w:b/>
          <w:bCs/>
          <w:color w:val="2D8700"/>
          <w:sz w:val="21"/>
          <w:szCs w:val="21"/>
          <w:shd w:val="clear" w:color="auto" w:fill="FFFFFF"/>
        </w:rPr>
        <w:t>3</w:t>
      </w:r>
      <w:r w:rsidRPr="00DF11C0">
        <w:rPr>
          <w:rFonts w:ascii="Helvetica" w:eastAsia="Times New Roman" w:hAnsi="Helvetica" w:cs="Helvetica"/>
          <w:b/>
          <w:bCs/>
          <w:color w:val="2D8700"/>
          <w:sz w:val="21"/>
          <w:szCs w:val="21"/>
          <w:shd w:val="clear" w:color="auto" w:fill="FFFFFF"/>
        </w:rPr>
        <w:t>. Under the Basic Needs Program, can we provide transportation reimbursement for unpaid interns?</w:t>
      </w:r>
      <w:r w:rsidRPr="00DF11C0">
        <w:rPr>
          <w:rFonts w:ascii="Helvetica" w:eastAsia="Times New Roman" w:hAnsi="Helvetica" w:cs="Helvetica"/>
          <w:color w:val="030A13"/>
          <w:sz w:val="21"/>
          <w:szCs w:val="21"/>
        </w:rPr>
        <w:br/>
      </w:r>
    </w:p>
    <w:p w14:paraId="28DCF8E4" w14:textId="77777777" w:rsidR="000C37ED" w:rsidRDefault="001C6737" w:rsidP="00DF11C0">
      <w:pPr>
        <w:spacing w:after="150" w:line="240" w:lineRule="auto"/>
        <w:rPr>
          <w:rFonts w:ascii="Helvetica" w:eastAsia="Times New Roman" w:hAnsi="Helvetica" w:cs="Helvetica"/>
          <w:color w:val="030A13"/>
          <w:sz w:val="21"/>
          <w:szCs w:val="21"/>
          <w:shd w:val="clear" w:color="auto" w:fill="FFFFFF"/>
        </w:rPr>
      </w:pPr>
      <w:r>
        <w:rPr>
          <w:rFonts w:ascii="Helvetica" w:eastAsia="Times New Roman" w:hAnsi="Helvetica" w:cs="Helvetica"/>
          <w:color w:val="030A13"/>
          <w:sz w:val="21"/>
          <w:szCs w:val="21"/>
          <w:shd w:val="clear" w:color="auto" w:fill="FFFFFF"/>
        </w:rPr>
        <w:t>Transportation support is allowable.</w:t>
      </w:r>
      <w:r w:rsidR="00DF11C0" w:rsidRPr="00DF11C0">
        <w:rPr>
          <w:rFonts w:ascii="Helvetica" w:eastAsia="Times New Roman" w:hAnsi="Helvetica" w:cs="Helvetica"/>
          <w:color w:val="030A13"/>
          <w:sz w:val="21"/>
          <w:szCs w:val="21"/>
          <w:shd w:val="clear" w:color="auto" w:fill="FFFFFF"/>
        </w:rPr>
        <w:t xml:space="preserve"> </w:t>
      </w:r>
    </w:p>
    <w:p w14:paraId="7A98AE15" w14:textId="0A8EF1C0" w:rsidR="00DF11C0" w:rsidRPr="002B3E41" w:rsidRDefault="00DF11C0" w:rsidP="00DF11C0">
      <w:pPr>
        <w:spacing w:after="150" w:line="240" w:lineRule="auto"/>
        <w:rPr>
          <w:rFonts w:ascii="Times New Roman" w:eastAsia="Times New Roman" w:hAnsi="Times New Roman" w:cs="Times New Roman"/>
          <w:i/>
          <w:iCs/>
          <w:sz w:val="24"/>
          <w:szCs w:val="24"/>
        </w:rPr>
      </w:pPr>
      <w:r w:rsidRPr="002B3E41">
        <w:rPr>
          <w:rFonts w:ascii="Helvetica" w:eastAsia="Times New Roman" w:hAnsi="Helvetica" w:cs="Helvetica"/>
          <w:i/>
          <w:iCs/>
          <w:color w:val="030A13"/>
          <w:sz w:val="21"/>
          <w:szCs w:val="21"/>
          <w:shd w:val="clear" w:color="auto" w:fill="FFFFFF"/>
        </w:rPr>
        <w:t>Projects must satisfy the absolute priorities as stated in the Notice Inviting Applications. Activities must directly align with project objectives and adhere to applicable EDGAR and Uniform Guidance citations that govern the program.</w:t>
      </w:r>
    </w:p>
    <w:p w14:paraId="4E5B4581" w14:textId="54C892D6" w:rsidR="00DF11C0" w:rsidRPr="00DF11C0" w:rsidRDefault="00DF11C0" w:rsidP="00DF11C0">
      <w:pPr>
        <w:spacing w:after="0" w:line="240" w:lineRule="auto"/>
        <w:rPr>
          <w:rFonts w:ascii="Times New Roman" w:eastAsia="Times New Roman" w:hAnsi="Times New Roman" w:cs="Times New Roman"/>
          <w:sz w:val="24"/>
          <w:szCs w:val="24"/>
        </w:rPr>
      </w:pPr>
      <w:r w:rsidRPr="00DF11C0">
        <w:rPr>
          <w:rFonts w:ascii="Times New Roman" w:eastAsia="Times New Roman" w:hAnsi="Times New Roman" w:cs="Times New Roman"/>
          <w:noProof/>
          <w:sz w:val="24"/>
          <w:szCs w:val="24"/>
        </w:rPr>
        <w:drawing>
          <wp:inline distT="0" distB="0" distL="0" distR="0" wp14:anchorId="2BB97B1A" wp14:editId="69CD6487">
            <wp:extent cx="3568700" cy="6350"/>
            <wp:effectExtent l="0" t="0" r="0" b="0"/>
            <wp:docPr id="2" name="Picture 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68700" cy="6350"/>
                    </a:xfrm>
                    <a:prstGeom prst="rect">
                      <a:avLst/>
                    </a:prstGeom>
                    <a:noFill/>
                    <a:ln>
                      <a:noFill/>
                    </a:ln>
                  </pic:spPr>
                </pic:pic>
              </a:graphicData>
            </a:graphic>
          </wp:inline>
        </w:drawing>
      </w:r>
      <w:r w:rsidRPr="00DF11C0">
        <w:rPr>
          <w:rFonts w:ascii="Helvetica" w:eastAsia="Times New Roman" w:hAnsi="Helvetica" w:cs="Helvetica"/>
          <w:color w:val="030A13"/>
          <w:sz w:val="21"/>
          <w:szCs w:val="21"/>
        </w:rPr>
        <w:br/>
      </w:r>
      <w:bookmarkStart w:id="1" w:name="q3"/>
      <w:bookmarkEnd w:id="1"/>
      <w:r w:rsidR="00771196">
        <w:rPr>
          <w:rFonts w:ascii="Helvetica" w:eastAsia="Times New Roman" w:hAnsi="Helvetica" w:cs="Helvetica"/>
          <w:b/>
          <w:bCs/>
          <w:color w:val="2D8700"/>
          <w:sz w:val="21"/>
          <w:szCs w:val="21"/>
          <w:shd w:val="clear" w:color="auto" w:fill="FFFFFF"/>
        </w:rPr>
        <w:t>4</w:t>
      </w:r>
      <w:r w:rsidRPr="00DF11C0">
        <w:rPr>
          <w:rFonts w:ascii="Helvetica" w:eastAsia="Times New Roman" w:hAnsi="Helvetica" w:cs="Helvetica"/>
          <w:b/>
          <w:bCs/>
          <w:color w:val="2D8700"/>
          <w:sz w:val="21"/>
          <w:szCs w:val="21"/>
          <w:shd w:val="clear" w:color="auto" w:fill="FFFFFF"/>
        </w:rPr>
        <w:t>. Are consortiums of 2 or more community colleges eligible to apply, or does it need to be a single institution?</w:t>
      </w:r>
      <w:r w:rsidRPr="00DF11C0">
        <w:rPr>
          <w:rFonts w:ascii="Helvetica" w:eastAsia="Times New Roman" w:hAnsi="Helvetica" w:cs="Helvetica"/>
          <w:color w:val="030A13"/>
          <w:sz w:val="21"/>
          <w:szCs w:val="21"/>
        </w:rPr>
        <w:br/>
      </w:r>
    </w:p>
    <w:p w14:paraId="1E8632AB" w14:textId="77777777" w:rsidR="00DF11C0" w:rsidRPr="00DF11C0" w:rsidRDefault="00DF11C0" w:rsidP="00DF11C0">
      <w:pPr>
        <w:spacing w:after="150" w:line="240" w:lineRule="auto"/>
        <w:rPr>
          <w:rFonts w:ascii="Times New Roman" w:eastAsia="Times New Roman" w:hAnsi="Times New Roman" w:cs="Times New Roman"/>
          <w:sz w:val="24"/>
          <w:szCs w:val="24"/>
        </w:rPr>
      </w:pPr>
      <w:r w:rsidRPr="00DF11C0">
        <w:rPr>
          <w:rFonts w:ascii="Helvetica" w:eastAsia="Times New Roman" w:hAnsi="Helvetica" w:cs="Helvetica"/>
          <w:color w:val="030A13"/>
          <w:sz w:val="21"/>
          <w:szCs w:val="21"/>
          <w:shd w:val="clear" w:color="auto" w:fill="FFFFFF"/>
        </w:rPr>
        <w:t>A single institution must apply as the lead institution. Eligible institutions, however, may partner with other institutions.</w:t>
      </w:r>
    </w:p>
    <w:p w14:paraId="1D528491" w14:textId="3BF98001" w:rsidR="00DF11C0" w:rsidRPr="00DF11C0" w:rsidRDefault="00DF11C0" w:rsidP="00DF11C0">
      <w:pPr>
        <w:spacing w:after="0" w:line="240" w:lineRule="auto"/>
        <w:rPr>
          <w:rFonts w:ascii="Times New Roman" w:eastAsia="Times New Roman" w:hAnsi="Times New Roman" w:cs="Times New Roman"/>
          <w:sz w:val="24"/>
          <w:szCs w:val="24"/>
        </w:rPr>
      </w:pPr>
      <w:r w:rsidRPr="00DF11C0">
        <w:rPr>
          <w:rFonts w:ascii="Times New Roman" w:eastAsia="Times New Roman" w:hAnsi="Times New Roman" w:cs="Times New Roman"/>
          <w:noProof/>
          <w:sz w:val="24"/>
          <w:szCs w:val="24"/>
        </w:rPr>
        <w:drawing>
          <wp:inline distT="0" distB="0" distL="0" distR="0" wp14:anchorId="05B45988" wp14:editId="1E8D023C">
            <wp:extent cx="3568700" cy="6350"/>
            <wp:effectExtent l="0" t="0" r="0" b="0"/>
            <wp:docPr id="1" name="Picture 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68700" cy="6350"/>
                    </a:xfrm>
                    <a:prstGeom prst="rect">
                      <a:avLst/>
                    </a:prstGeom>
                    <a:noFill/>
                    <a:ln>
                      <a:noFill/>
                    </a:ln>
                  </pic:spPr>
                </pic:pic>
              </a:graphicData>
            </a:graphic>
          </wp:inline>
        </w:drawing>
      </w:r>
      <w:r w:rsidRPr="00DF11C0">
        <w:rPr>
          <w:rFonts w:ascii="Helvetica" w:eastAsia="Times New Roman" w:hAnsi="Helvetica" w:cs="Helvetica"/>
          <w:color w:val="030A13"/>
          <w:sz w:val="21"/>
          <w:szCs w:val="21"/>
        </w:rPr>
        <w:br/>
      </w:r>
      <w:bookmarkStart w:id="2" w:name="q4"/>
      <w:bookmarkEnd w:id="2"/>
      <w:r w:rsidR="00771196">
        <w:rPr>
          <w:rFonts w:ascii="Helvetica" w:eastAsia="Times New Roman" w:hAnsi="Helvetica" w:cs="Helvetica"/>
          <w:b/>
          <w:bCs/>
          <w:color w:val="2D8700"/>
          <w:sz w:val="21"/>
          <w:szCs w:val="21"/>
          <w:shd w:val="clear" w:color="auto" w:fill="FFFFFF"/>
        </w:rPr>
        <w:t>5</w:t>
      </w:r>
      <w:r w:rsidRPr="00DF11C0">
        <w:rPr>
          <w:rFonts w:ascii="Helvetica" w:eastAsia="Times New Roman" w:hAnsi="Helvetica" w:cs="Helvetica"/>
          <w:b/>
          <w:bCs/>
          <w:color w:val="2D8700"/>
          <w:sz w:val="21"/>
          <w:szCs w:val="21"/>
          <w:shd w:val="clear" w:color="auto" w:fill="FFFFFF"/>
        </w:rPr>
        <w:t>. What file types can I upload to grants.gov?</w:t>
      </w:r>
      <w:r w:rsidRPr="00DF11C0">
        <w:rPr>
          <w:rFonts w:ascii="Helvetica" w:eastAsia="Times New Roman" w:hAnsi="Helvetica" w:cs="Helvetica"/>
          <w:color w:val="030A13"/>
          <w:sz w:val="21"/>
          <w:szCs w:val="21"/>
        </w:rPr>
        <w:br/>
      </w:r>
    </w:p>
    <w:p w14:paraId="01B47C3B" w14:textId="2813F4A4" w:rsidR="00DF11C0" w:rsidRDefault="00DF11C0" w:rsidP="00DF11C0">
      <w:pPr>
        <w:spacing w:after="150" w:line="240" w:lineRule="auto"/>
        <w:rPr>
          <w:rFonts w:ascii="Helvetica" w:eastAsia="Times New Roman" w:hAnsi="Helvetica" w:cs="Helvetica"/>
          <w:color w:val="030A13"/>
          <w:sz w:val="21"/>
          <w:szCs w:val="21"/>
          <w:shd w:val="clear" w:color="auto" w:fill="FFFFFF"/>
        </w:rPr>
      </w:pPr>
      <w:r w:rsidRPr="00DF11C0">
        <w:rPr>
          <w:rFonts w:ascii="Helvetica" w:eastAsia="Times New Roman" w:hAnsi="Helvetica" w:cs="Helvetica"/>
          <w:color w:val="030A13"/>
          <w:sz w:val="21"/>
          <w:szCs w:val="21"/>
          <w:shd w:val="clear" w:color="auto" w:fill="FFFFFF"/>
        </w:rPr>
        <w:t>In years past, only .pdf documents were accepted here at the Department of Education. Now, it is acceptable to upload Microsoft Word documents, as well as .pdf documents.</w:t>
      </w:r>
    </w:p>
    <w:p w14:paraId="209D0DBF" w14:textId="44252DE1" w:rsidR="00DF11C0" w:rsidRDefault="00DF11C0" w:rsidP="00DF11C0">
      <w:pPr>
        <w:spacing w:after="150" w:line="240" w:lineRule="auto"/>
        <w:rPr>
          <w:rFonts w:ascii="Helvetica" w:eastAsia="Times New Roman" w:hAnsi="Helvetica" w:cs="Helvetica"/>
          <w:color w:val="030A13"/>
          <w:sz w:val="21"/>
          <w:szCs w:val="21"/>
          <w:shd w:val="clear" w:color="auto" w:fill="FFFFFF"/>
        </w:rPr>
      </w:pPr>
    </w:p>
    <w:p w14:paraId="71546157" w14:textId="25D46C58" w:rsidR="00DF11C0" w:rsidRPr="00DF11C0" w:rsidRDefault="00771196" w:rsidP="00DF11C0">
      <w:pPr>
        <w:spacing w:after="0" w:line="240" w:lineRule="auto"/>
        <w:rPr>
          <w:rFonts w:ascii="Helvetica" w:eastAsia="Times New Roman" w:hAnsi="Helvetica" w:cs="Helvetica"/>
          <w:color w:val="030A13"/>
          <w:sz w:val="21"/>
          <w:szCs w:val="21"/>
          <w:shd w:val="clear" w:color="auto" w:fill="FFFFFF"/>
        </w:rPr>
      </w:pPr>
      <w:r>
        <w:rPr>
          <w:rFonts w:ascii="Helvetica" w:eastAsia="Times New Roman" w:hAnsi="Helvetica" w:cs="Helvetica"/>
          <w:b/>
          <w:bCs/>
          <w:color w:val="2D8700"/>
          <w:sz w:val="21"/>
          <w:szCs w:val="21"/>
          <w:shd w:val="clear" w:color="auto" w:fill="FFFFFF"/>
        </w:rPr>
        <w:t>6</w:t>
      </w:r>
      <w:r w:rsidR="00DF11C0">
        <w:rPr>
          <w:rFonts w:ascii="Helvetica" w:eastAsia="Times New Roman" w:hAnsi="Helvetica" w:cs="Helvetica"/>
          <w:b/>
          <w:bCs/>
          <w:color w:val="2D8700"/>
          <w:sz w:val="21"/>
          <w:szCs w:val="21"/>
          <w:shd w:val="clear" w:color="auto" w:fill="FFFFFF"/>
        </w:rPr>
        <w:t>. Are subawards</w:t>
      </w:r>
      <w:r w:rsidR="005721B4">
        <w:rPr>
          <w:rFonts w:ascii="Helvetica" w:eastAsia="Times New Roman" w:hAnsi="Helvetica" w:cs="Helvetica"/>
          <w:b/>
          <w:bCs/>
          <w:color w:val="2D8700"/>
          <w:sz w:val="21"/>
          <w:szCs w:val="21"/>
          <w:shd w:val="clear" w:color="auto" w:fill="FFFFFF"/>
        </w:rPr>
        <w:t xml:space="preserve">/subgrants </w:t>
      </w:r>
      <w:r w:rsidR="00DF11C0">
        <w:rPr>
          <w:rFonts w:ascii="Helvetica" w:eastAsia="Times New Roman" w:hAnsi="Helvetica" w:cs="Helvetica"/>
          <w:b/>
          <w:bCs/>
          <w:color w:val="2D8700"/>
          <w:sz w:val="21"/>
          <w:szCs w:val="21"/>
          <w:shd w:val="clear" w:color="auto" w:fill="FFFFFF"/>
        </w:rPr>
        <w:t>allowable</w:t>
      </w:r>
      <w:r w:rsidR="00DF11C0" w:rsidRPr="00DF11C0">
        <w:rPr>
          <w:rFonts w:ascii="Helvetica" w:eastAsia="Times New Roman" w:hAnsi="Helvetica" w:cs="Helvetica"/>
          <w:b/>
          <w:bCs/>
          <w:color w:val="2D8700"/>
          <w:sz w:val="21"/>
          <w:szCs w:val="21"/>
          <w:shd w:val="clear" w:color="auto" w:fill="FFFFFF"/>
        </w:rPr>
        <w:t>?</w:t>
      </w:r>
      <w:r w:rsidR="00DF11C0" w:rsidRPr="00DF11C0">
        <w:rPr>
          <w:rFonts w:ascii="Helvetica" w:eastAsia="Times New Roman" w:hAnsi="Helvetica" w:cs="Helvetica"/>
          <w:color w:val="030A13"/>
          <w:sz w:val="21"/>
          <w:szCs w:val="21"/>
        </w:rPr>
        <w:br/>
      </w:r>
    </w:p>
    <w:p w14:paraId="57244D2D" w14:textId="77777777" w:rsidR="00C834F8" w:rsidRDefault="00C834F8" w:rsidP="00C834F8">
      <w:pPr>
        <w:rPr>
          <w:rFonts w:ascii="Helvetica" w:hAnsi="Helvetica" w:cs="Helvetica"/>
        </w:rPr>
      </w:pPr>
      <w:r>
        <w:rPr>
          <w:rFonts w:ascii="Helvetica" w:hAnsi="Helvetica" w:cs="Helvetica"/>
          <w:sz w:val="21"/>
          <w:szCs w:val="21"/>
        </w:rPr>
        <w:t xml:space="preserve">A grantee under this competition may not award subgrants to entities to directly carry out project activities described in its application.  Partnerships can be in the form of MOUs, contracts, etc. and be paid on a reimbursement basis. </w:t>
      </w:r>
      <w:r>
        <w:rPr>
          <w:rFonts w:ascii="Helvetica" w:hAnsi="Helvetica" w:cs="Helvetica"/>
          <w:sz w:val="21"/>
          <w:szCs w:val="21"/>
          <w:u w:val="single"/>
        </w:rPr>
        <w:t>If partnership entities are not named within a grantee’s application for funding, grantees must follow their own procurement procedures and those outlined in 2 CFR Part 200 when procuring goods and services for the purposes of their Basic Needs grant.</w:t>
      </w:r>
    </w:p>
    <w:p w14:paraId="3A2E6973" w14:textId="77777777" w:rsidR="00DF11C0" w:rsidRDefault="00DF11C0" w:rsidP="00DF11C0">
      <w:pPr>
        <w:spacing w:after="0" w:line="240" w:lineRule="auto"/>
        <w:rPr>
          <w:rFonts w:ascii="Helvetica" w:eastAsia="Times New Roman" w:hAnsi="Helvetica" w:cs="Helvetica"/>
          <w:color w:val="030A13"/>
          <w:sz w:val="21"/>
          <w:szCs w:val="21"/>
        </w:rPr>
      </w:pPr>
    </w:p>
    <w:p w14:paraId="6189B2AA" w14:textId="674623E0" w:rsidR="00DF11C0" w:rsidRDefault="00771196" w:rsidP="00DF11C0">
      <w:pPr>
        <w:spacing w:after="0" w:line="240" w:lineRule="auto"/>
        <w:rPr>
          <w:rFonts w:ascii="Helvetica" w:eastAsia="Times New Roman" w:hAnsi="Helvetica" w:cs="Helvetica"/>
          <w:color w:val="030A13"/>
          <w:sz w:val="21"/>
          <w:szCs w:val="21"/>
          <w:shd w:val="clear" w:color="auto" w:fill="FFFFFF"/>
        </w:rPr>
      </w:pPr>
      <w:r>
        <w:rPr>
          <w:rFonts w:ascii="Helvetica" w:eastAsia="Times New Roman" w:hAnsi="Helvetica" w:cs="Helvetica"/>
          <w:b/>
          <w:bCs/>
          <w:color w:val="2D8700"/>
          <w:sz w:val="21"/>
          <w:szCs w:val="21"/>
          <w:shd w:val="clear" w:color="auto" w:fill="FFFFFF"/>
        </w:rPr>
        <w:t>7</w:t>
      </w:r>
      <w:r w:rsidR="00DF11C0">
        <w:rPr>
          <w:rFonts w:ascii="Helvetica" w:eastAsia="Times New Roman" w:hAnsi="Helvetica" w:cs="Helvetica"/>
          <w:b/>
          <w:bCs/>
          <w:color w:val="2D8700"/>
          <w:sz w:val="21"/>
          <w:szCs w:val="21"/>
          <w:shd w:val="clear" w:color="auto" w:fill="FFFFFF"/>
        </w:rPr>
        <w:t>. Can funds be used to construct a dorm or other type of residence for students?</w:t>
      </w:r>
      <w:r w:rsidR="00DF11C0" w:rsidRPr="00DF11C0">
        <w:rPr>
          <w:rFonts w:ascii="Helvetica" w:eastAsia="Times New Roman" w:hAnsi="Helvetica" w:cs="Helvetica"/>
          <w:color w:val="030A13"/>
          <w:sz w:val="21"/>
          <w:szCs w:val="21"/>
          <w:shd w:val="clear" w:color="auto" w:fill="FFFFFF"/>
        </w:rPr>
        <w:t xml:space="preserve"> </w:t>
      </w:r>
    </w:p>
    <w:p w14:paraId="591D0DBC" w14:textId="77777777" w:rsidR="00873E2F" w:rsidRDefault="00873E2F" w:rsidP="00DF11C0"/>
    <w:p w14:paraId="46BE389E" w14:textId="4360BFF3" w:rsidR="000C37ED" w:rsidRDefault="00416054" w:rsidP="00B11553">
      <w:pPr>
        <w:spacing w:after="150" w:line="240" w:lineRule="auto"/>
        <w:rPr>
          <w:sz w:val="24"/>
          <w:szCs w:val="24"/>
        </w:rPr>
      </w:pPr>
      <w:r>
        <w:rPr>
          <w:rFonts w:ascii="Helvetica" w:hAnsi="Helvetica" w:cs="Helvetica"/>
        </w:rPr>
        <w:lastRenderedPageBreak/>
        <w:t>No</w:t>
      </w:r>
      <w:r w:rsidR="000C37ED">
        <w:rPr>
          <w:rFonts w:ascii="Helvetica" w:hAnsi="Helvetica" w:cs="Helvetica"/>
        </w:rPr>
        <w:t>.</w:t>
      </w:r>
      <w:r w:rsidR="00B11553">
        <w:rPr>
          <w:rFonts w:ascii="Helvetica" w:hAnsi="Helvetica" w:cs="Helvetica"/>
        </w:rPr>
        <w:t xml:space="preserve"> Grantees </w:t>
      </w:r>
      <w:r w:rsidR="00B11553" w:rsidRPr="00B11553">
        <w:rPr>
          <w:rFonts w:ascii="Helvetica" w:hAnsi="Helvetica" w:cs="Helvetica"/>
        </w:rPr>
        <w:t xml:space="preserve">are prohibited from using </w:t>
      </w:r>
      <w:r w:rsidR="00B11553">
        <w:rPr>
          <w:rFonts w:ascii="Helvetica" w:hAnsi="Helvetica" w:cs="Helvetica"/>
        </w:rPr>
        <w:t>Basic Needs</w:t>
      </w:r>
      <w:r w:rsidR="00B11553" w:rsidRPr="00B11553">
        <w:rPr>
          <w:rFonts w:ascii="Helvetica" w:hAnsi="Helvetica" w:cs="Helvetica"/>
        </w:rPr>
        <w:t xml:space="preserve"> funding for the acquisition of real property or</w:t>
      </w:r>
      <w:r w:rsidR="00B11553">
        <w:rPr>
          <w:rFonts w:ascii="Helvetica" w:hAnsi="Helvetica" w:cs="Helvetica"/>
        </w:rPr>
        <w:t xml:space="preserve"> </w:t>
      </w:r>
      <w:r w:rsidR="00B11553" w:rsidRPr="00B11553">
        <w:rPr>
          <w:rFonts w:ascii="Helvetica" w:hAnsi="Helvetica" w:cs="Helvetica"/>
        </w:rPr>
        <w:t>construction under 34 CFR § 75.533</w:t>
      </w:r>
      <w:r w:rsidR="00B11553">
        <w:rPr>
          <w:rFonts w:ascii="Helvetica" w:hAnsi="Helvetica" w:cs="Helvetica"/>
        </w:rPr>
        <w:t>.</w:t>
      </w:r>
      <w:r w:rsidR="00A51189">
        <w:rPr>
          <w:rFonts w:ascii="Helvetica" w:hAnsi="Helvetica" w:cs="Helvetica"/>
        </w:rPr>
        <w:t xml:space="preserve"> However, e</w:t>
      </w:r>
      <w:r w:rsidR="00A51189" w:rsidRPr="00A51189">
        <w:rPr>
          <w:rFonts w:ascii="Helvetica" w:hAnsi="Helvetica" w:cs="Helvetica"/>
        </w:rPr>
        <w:t xml:space="preserve">xamples of the resources and services that could be provided </w:t>
      </w:r>
      <w:r w:rsidR="00A51189">
        <w:rPr>
          <w:rFonts w:ascii="Helvetica" w:hAnsi="Helvetica" w:cs="Helvetica"/>
        </w:rPr>
        <w:t>using Basic Needs funds include</w:t>
      </w:r>
      <w:r w:rsidR="00A51189" w:rsidRPr="00A51189">
        <w:rPr>
          <w:rFonts w:ascii="Helvetica" w:hAnsi="Helvetica" w:cs="Helvetica"/>
        </w:rPr>
        <w:t xml:space="preserve"> housing voucher application assistance</w:t>
      </w:r>
      <w:r w:rsidR="002B3E41">
        <w:rPr>
          <w:rFonts w:ascii="Helvetica" w:hAnsi="Helvetica" w:cs="Helvetica"/>
        </w:rPr>
        <w:t xml:space="preserve"> and other services to secure temporary housing for students</w:t>
      </w:r>
      <w:r w:rsidR="00A51189">
        <w:rPr>
          <w:rFonts w:ascii="Helvetica" w:hAnsi="Helvetica" w:cs="Helvetica"/>
        </w:rPr>
        <w:t>.</w:t>
      </w:r>
      <w:r w:rsidR="000C37ED">
        <w:rPr>
          <w:rFonts w:ascii="Helvetica" w:hAnsi="Helvetica" w:cs="Helvetica"/>
        </w:rPr>
        <w:t xml:space="preserve"> </w:t>
      </w:r>
    </w:p>
    <w:p w14:paraId="5502B1C6" w14:textId="2F4019EF" w:rsidR="001C6737" w:rsidRDefault="001C6737" w:rsidP="001C6737">
      <w:pPr>
        <w:spacing w:after="150" w:line="240" w:lineRule="auto"/>
        <w:rPr>
          <w:rFonts w:ascii="Helvetica" w:eastAsia="Times New Roman" w:hAnsi="Helvetica" w:cs="Helvetica"/>
          <w:i/>
          <w:iCs/>
          <w:color w:val="030A13"/>
          <w:sz w:val="21"/>
          <w:szCs w:val="21"/>
          <w:shd w:val="clear" w:color="auto" w:fill="FFFFFF"/>
        </w:rPr>
      </w:pPr>
      <w:r w:rsidRPr="002B3E41">
        <w:rPr>
          <w:rFonts w:ascii="Helvetica" w:eastAsia="Times New Roman" w:hAnsi="Helvetica" w:cs="Helvetica"/>
          <w:i/>
          <w:iCs/>
          <w:color w:val="030A13"/>
          <w:sz w:val="21"/>
          <w:szCs w:val="21"/>
          <w:shd w:val="clear" w:color="auto" w:fill="FFFFFF"/>
        </w:rPr>
        <w:t xml:space="preserve">Projects must </w:t>
      </w:r>
      <w:r w:rsidR="003E18A0" w:rsidRPr="002B3E41">
        <w:rPr>
          <w:rFonts w:ascii="Helvetica" w:eastAsia="Times New Roman" w:hAnsi="Helvetica" w:cs="Helvetica"/>
          <w:i/>
          <w:iCs/>
          <w:color w:val="030A13"/>
          <w:sz w:val="21"/>
          <w:szCs w:val="21"/>
          <w:shd w:val="clear" w:color="auto" w:fill="FFFFFF"/>
        </w:rPr>
        <w:t xml:space="preserve">also </w:t>
      </w:r>
      <w:r w:rsidRPr="002B3E41">
        <w:rPr>
          <w:rFonts w:ascii="Helvetica" w:eastAsia="Times New Roman" w:hAnsi="Helvetica" w:cs="Helvetica"/>
          <w:i/>
          <w:iCs/>
          <w:color w:val="030A13"/>
          <w:sz w:val="21"/>
          <w:szCs w:val="21"/>
          <w:shd w:val="clear" w:color="auto" w:fill="FFFFFF"/>
        </w:rPr>
        <w:t>satisfy the absolute priorities as stated in the Notice Inviting Applications. Activities must directly align with project objectives and adhere to applicable EDGAR and Uniform Guidance citations that govern the program.</w:t>
      </w:r>
    </w:p>
    <w:p w14:paraId="492FA86F" w14:textId="445D9685" w:rsidR="00C53E09" w:rsidRDefault="00C53E09" w:rsidP="001C6737">
      <w:pPr>
        <w:spacing w:after="150" w:line="240" w:lineRule="auto"/>
        <w:rPr>
          <w:rFonts w:ascii="Helvetica" w:eastAsia="Times New Roman" w:hAnsi="Helvetica" w:cs="Helvetica"/>
          <w:i/>
          <w:iCs/>
          <w:color w:val="030A13"/>
          <w:sz w:val="21"/>
          <w:szCs w:val="21"/>
          <w:shd w:val="clear" w:color="auto" w:fill="FFFFFF"/>
        </w:rPr>
      </w:pPr>
    </w:p>
    <w:p w14:paraId="628B9A1E" w14:textId="2336759A" w:rsidR="00771196" w:rsidRPr="00C53E09" w:rsidRDefault="00C53E09" w:rsidP="00C53E09">
      <w:pPr>
        <w:rPr>
          <w:rFonts w:ascii="Times New Roman" w:hAnsi="Times New Roman" w:cs="Times New Roman"/>
          <w:b/>
          <w:bCs/>
          <w:color w:val="538135" w:themeColor="accent6" w:themeShade="BF"/>
        </w:rPr>
      </w:pPr>
      <w:r>
        <w:rPr>
          <w:rFonts w:ascii="Times New Roman" w:hAnsi="Times New Roman" w:cs="Times New Roman"/>
          <w:b/>
          <w:bCs/>
          <w:color w:val="538135" w:themeColor="accent6" w:themeShade="BF"/>
        </w:rPr>
        <w:t xml:space="preserve">8. </w:t>
      </w:r>
      <w:r w:rsidR="00771196" w:rsidRPr="00C53E09">
        <w:rPr>
          <w:rFonts w:ascii="Times New Roman" w:hAnsi="Times New Roman" w:cs="Times New Roman"/>
          <w:b/>
          <w:bCs/>
          <w:color w:val="538135" w:themeColor="accent6" w:themeShade="BF"/>
        </w:rPr>
        <w:t>Can an IHE submit more than one application.</w:t>
      </w:r>
    </w:p>
    <w:p w14:paraId="20A45F32" w14:textId="77777777" w:rsidR="00771196" w:rsidRDefault="00771196" w:rsidP="00771196">
      <w:pPr>
        <w:pStyle w:val="ListParagraph"/>
        <w:rPr>
          <w:rFonts w:ascii="Times New Roman" w:hAnsi="Times New Roman" w:cs="Times New Roman"/>
        </w:rPr>
      </w:pPr>
    </w:p>
    <w:p w14:paraId="5CE4C306" w14:textId="0EB9336C" w:rsidR="00771196" w:rsidRDefault="00771196" w:rsidP="00771196">
      <w:pPr>
        <w:rPr>
          <w:rFonts w:ascii="Times New Roman" w:hAnsi="Times New Roman" w:cs="Times New Roman"/>
        </w:rPr>
      </w:pPr>
      <w:r w:rsidRPr="00771196">
        <w:rPr>
          <w:rFonts w:ascii="Times New Roman" w:hAnsi="Times New Roman" w:cs="Times New Roman"/>
        </w:rPr>
        <w:t xml:space="preserve">No, IHEs may only submit one application. If more than one is submitted, only the latest submission will be reviewed. </w:t>
      </w:r>
    </w:p>
    <w:p w14:paraId="71F67CBD" w14:textId="77777777" w:rsidR="005C7330" w:rsidRDefault="005C7330" w:rsidP="00771196">
      <w:pPr>
        <w:rPr>
          <w:rFonts w:ascii="Times New Roman" w:hAnsi="Times New Roman" w:cs="Times New Roman"/>
        </w:rPr>
      </w:pPr>
    </w:p>
    <w:p w14:paraId="1329E776" w14:textId="149A207A" w:rsidR="005C7330" w:rsidRPr="005C7330" w:rsidRDefault="005C7330" w:rsidP="00771196">
      <w:pPr>
        <w:rPr>
          <w:rFonts w:ascii="Courier New" w:eastAsia="Times New Roman" w:hAnsi="Courier New" w:cs="Courier New"/>
          <w:b/>
          <w:bCs/>
          <w:color w:val="538135" w:themeColor="accent6" w:themeShade="BF"/>
          <w:sz w:val="24"/>
          <w:szCs w:val="24"/>
        </w:rPr>
      </w:pPr>
      <w:r w:rsidRPr="005C7330">
        <w:rPr>
          <w:rFonts w:ascii="Times New Roman" w:hAnsi="Times New Roman" w:cs="Times New Roman"/>
          <w:b/>
          <w:bCs/>
          <w:color w:val="538135" w:themeColor="accent6" w:themeShade="BF"/>
        </w:rPr>
        <w:t>9. Are indirect costs allowed?</w:t>
      </w:r>
    </w:p>
    <w:p w14:paraId="745B7ADD" w14:textId="0B994CF4" w:rsidR="005C7330" w:rsidRPr="005C7330" w:rsidRDefault="005C7330" w:rsidP="00771196">
      <w:pPr>
        <w:rPr>
          <w:rFonts w:ascii="Times New Roman" w:hAnsi="Times New Roman" w:cs="Times New Roman"/>
        </w:rPr>
      </w:pPr>
      <w:r w:rsidRPr="005C7330">
        <w:rPr>
          <w:rFonts w:ascii="Times New Roman" w:eastAsia="Times New Roman" w:hAnsi="Times New Roman" w:cs="Times New Roman"/>
        </w:rPr>
        <w:t>This program uses an unrestricted indirect cost rate.  For more information regarding indirect costs, or to obtain a negotiated indirect cost rate, please see www2.ed.gov/about/offices/list/ocfo/intro.html.</w:t>
      </w:r>
    </w:p>
    <w:p w14:paraId="5D43F766" w14:textId="1376EBFC" w:rsidR="00771196" w:rsidRDefault="00771196" w:rsidP="001C6737">
      <w:pPr>
        <w:spacing w:after="150" w:line="240" w:lineRule="auto"/>
        <w:rPr>
          <w:rFonts w:ascii="Helvetica" w:eastAsia="Times New Roman" w:hAnsi="Helvetica" w:cs="Helvetica"/>
          <w:color w:val="030A13"/>
          <w:sz w:val="21"/>
          <w:szCs w:val="21"/>
          <w:shd w:val="clear" w:color="auto" w:fill="FFFFFF"/>
        </w:rPr>
      </w:pPr>
    </w:p>
    <w:p w14:paraId="3661C2D8" w14:textId="0F85FD7A" w:rsidR="00DF11C0" w:rsidRPr="00CA4BC1" w:rsidRDefault="005C7330" w:rsidP="00DF11C0">
      <w:pPr>
        <w:spacing w:after="0" w:line="240" w:lineRule="auto"/>
        <w:rPr>
          <w:rFonts w:ascii="Helvetica" w:eastAsia="Times New Roman" w:hAnsi="Helvetica" w:cs="Helvetica"/>
          <w:b/>
          <w:bCs/>
          <w:color w:val="538135" w:themeColor="accent6" w:themeShade="BF"/>
          <w:sz w:val="21"/>
          <w:szCs w:val="21"/>
        </w:rPr>
      </w:pPr>
      <w:r>
        <w:rPr>
          <w:rFonts w:ascii="Helvetica" w:eastAsia="Times New Roman" w:hAnsi="Helvetica" w:cs="Helvetica"/>
          <w:b/>
          <w:bCs/>
          <w:color w:val="538135" w:themeColor="accent6" w:themeShade="BF"/>
          <w:sz w:val="21"/>
          <w:szCs w:val="21"/>
        </w:rPr>
        <w:t>10</w:t>
      </w:r>
      <w:r w:rsidR="00013C03" w:rsidRPr="00CA4BC1">
        <w:rPr>
          <w:rFonts w:ascii="Helvetica" w:eastAsia="Times New Roman" w:hAnsi="Helvetica" w:cs="Helvetica"/>
          <w:b/>
          <w:bCs/>
          <w:color w:val="538135" w:themeColor="accent6" w:themeShade="BF"/>
          <w:sz w:val="21"/>
          <w:szCs w:val="21"/>
        </w:rPr>
        <w:t xml:space="preserve">. </w:t>
      </w:r>
      <w:r w:rsidR="003756C6" w:rsidRPr="00CA4BC1">
        <w:rPr>
          <w:rFonts w:ascii="Helvetica" w:eastAsia="Times New Roman" w:hAnsi="Helvetica" w:cs="Helvetica"/>
          <w:b/>
          <w:bCs/>
          <w:color w:val="538135" w:themeColor="accent6" w:themeShade="BF"/>
          <w:sz w:val="21"/>
          <w:szCs w:val="21"/>
        </w:rPr>
        <w:t xml:space="preserve">Is </w:t>
      </w:r>
      <w:r w:rsidR="00013C03" w:rsidRPr="00CA4BC1">
        <w:rPr>
          <w:rFonts w:ascii="Helvetica" w:eastAsia="Times New Roman" w:hAnsi="Helvetica" w:cs="Helvetica"/>
          <w:b/>
          <w:bCs/>
          <w:color w:val="538135" w:themeColor="accent6" w:themeShade="BF"/>
          <w:sz w:val="21"/>
          <w:szCs w:val="21"/>
        </w:rPr>
        <w:t xml:space="preserve">direct student aid </w:t>
      </w:r>
      <w:r w:rsidR="003756C6" w:rsidRPr="00CA4BC1">
        <w:rPr>
          <w:rFonts w:ascii="Helvetica" w:eastAsia="Times New Roman" w:hAnsi="Helvetica" w:cs="Helvetica"/>
          <w:b/>
          <w:bCs/>
          <w:color w:val="538135" w:themeColor="accent6" w:themeShade="BF"/>
          <w:sz w:val="21"/>
          <w:szCs w:val="21"/>
        </w:rPr>
        <w:t xml:space="preserve">included in </w:t>
      </w:r>
      <w:r w:rsidR="00013C03" w:rsidRPr="00CA4BC1">
        <w:rPr>
          <w:rFonts w:ascii="Helvetica" w:eastAsia="Times New Roman" w:hAnsi="Helvetica" w:cs="Helvetica"/>
          <w:b/>
          <w:bCs/>
          <w:color w:val="538135" w:themeColor="accent6" w:themeShade="BF"/>
          <w:sz w:val="21"/>
          <w:szCs w:val="21"/>
        </w:rPr>
        <w:t>MTDC</w:t>
      </w:r>
      <w:r w:rsidR="00244726">
        <w:rPr>
          <w:rFonts w:ascii="Helvetica" w:eastAsia="Times New Roman" w:hAnsi="Helvetica" w:cs="Helvetica"/>
          <w:b/>
          <w:bCs/>
          <w:color w:val="538135" w:themeColor="accent6" w:themeShade="BF"/>
          <w:sz w:val="21"/>
          <w:szCs w:val="21"/>
        </w:rPr>
        <w:t xml:space="preserve"> (modified total direct cost)</w:t>
      </w:r>
      <w:r w:rsidR="00013C03" w:rsidRPr="00CA4BC1">
        <w:rPr>
          <w:rFonts w:ascii="Helvetica" w:eastAsia="Times New Roman" w:hAnsi="Helvetica" w:cs="Helvetica"/>
          <w:b/>
          <w:bCs/>
          <w:color w:val="538135" w:themeColor="accent6" w:themeShade="BF"/>
          <w:sz w:val="21"/>
          <w:szCs w:val="21"/>
        </w:rPr>
        <w:t>?</w:t>
      </w:r>
    </w:p>
    <w:p w14:paraId="0915FD5E" w14:textId="77777777" w:rsidR="00CA4BC1" w:rsidRDefault="00CA4BC1" w:rsidP="00DF11C0">
      <w:pPr>
        <w:spacing w:after="0" w:line="240" w:lineRule="auto"/>
        <w:rPr>
          <w:rStyle w:val="et03"/>
          <w:rFonts w:ascii="Verdana" w:hAnsi="Verdana"/>
          <w:i/>
          <w:iCs/>
          <w:color w:val="000000"/>
          <w:shd w:val="clear" w:color="auto" w:fill="FFFFFF"/>
        </w:rPr>
      </w:pPr>
    </w:p>
    <w:p w14:paraId="2C1959B4" w14:textId="77777777" w:rsidR="00CA4BC1" w:rsidRPr="001C6737" w:rsidRDefault="00CA4BC1" w:rsidP="00DF11C0">
      <w:pPr>
        <w:spacing w:after="0" w:line="240" w:lineRule="auto"/>
        <w:rPr>
          <w:rStyle w:val="et03"/>
          <w:rFonts w:ascii="Helvetica" w:hAnsi="Helvetica" w:cs="Helvetica"/>
          <w:i/>
          <w:iCs/>
          <w:color w:val="000000"/>
          <w:shd w:val="clear" w:color="auto" w:fill="FFFFFF"/>
        </w:rPr>
      </w:pPr>
      <w:r w:rsidRPr="001C6737">
        <w:rPr>
          <w:rStyle w:val="et03"/>
          <w:rFonts w:ascii="Helvetica" w:hAnsi="Helvetica" w:cs="Helvetica"/>
          <w:i/>
          <w:iCs/>
          <w:color w:val="000000"/>
          <w:shd w:val="clear" w:color="auto" w:fill="FFFFFF"/>
        </w:rPr>
        <w:t xml:space="preserve">No. MTDC excludes direct student aid which falls under “participant support costs.” </w:t>
      </w:r>
    </w:p>
    <w:p w14:paraId="1E479EF2" w14:textId="77777777" w:rsidR="00CA4BC1" w:rsidRPr="001C6737" w:rsidRDefault="00CA4BC1" w:rsidP="00DF11C0">
      <w:pPr>
        <w:spacing w:after="0" w:line="240" w:lineRule="auto"/>
        <w:rPr>
          <w:rStyle w:val="et03"/>
          <w:rFonts w:ascii="Helvetica" w:hAnsi="Helvetica" w:cs="Helvetica"/>
          <w:i/>
          <w:iCs/>
          <w:color w:val="000000"/>
          <w:shd w:val="clear" w:color="auto" w:fill="FFFFFF"/>
        </w:rPr>
      </w:pPr>
    </w:p>
    <w:p w14:paraId="102E05F7" w14:textId="398C76D0" w:rsidR="00CA4BC1" w:rsidRPr="001C6737" w:rsidRDefault="00CA4BC1" w:rsidP="00DF11C0">
      <w:pPr>
        <w:spacing w:after="0" w:line="240" w:lineRule="auto"/>
        <w:rPr>
          <w:rStyle w:val="et03"/>
          <w:rFonts w:ascii="Helvetica" w:hAnsi="Helvetica" w:cs="Helvetica"/>
          <w:i/>
          <w:iCs/>
          <w:color w:val="000000"/>
          <w:shd w:val="clear" w:color="auto" w:fill="FFFFFF"/>
        </w:rPr>
      </w:pPr>
      <w:r w:rsidRPr="001C6737">
        <w:rPr>
          <w:rStyle w:val="et03"/>
          <w:rFonts w:ascii="Helvetica" w:hAnsi="Helvetica" w:cs="Helvetica"/>
          <w:i/>
          <w:iCs/>
          <w:color w:val="000000"/>
          <w:shd w:val="clear" w:color="auto" w:fill="FFFFFF"/>
        </w:rPr>
        <w:t>2CFR 200.68</w:t>
      </w:r>
    </w:p>
    <w:p w14:paraId="75BD7190" w14:textId="3891C5ED" w:rsidR="00DF11C0" w:rsidRPr="001C6737" w:rsidRDefault="0032225F" w:rsidP="00DF11C0">
      <w:pPr>
        <w:spacing w:after="0" w:line="240" w:lineRule="auto"/>
        <w:rPr>
          <w:rFonts w:ascii="Helvetica" w:eastAsia="Times New Roman" w:hAnsi="Helvetica" w:cs="Helvetica"/>
          <w:sz w:val="21"/>
          <w:szCs w:val="21"/>
          <w:shd w:val="clear" w:color="auto" w:fill="FFFFFF"/>
        </w:rPr>
      </w:pPr>
      <w:r w:rsidRPr="001C6737">
        <w:rPr>
          <w:rStyle w:val="et03"/>
          <w:rFonts w:ascii="Helvetica" w:hAnsi="Helvetica" w:cs="Helvetica"/>
          <w:i/>
          <w:iCs/>
          <w:color w:val="000000"/>
          <w:shd w:val="clear" w:color="auto" w:fill="FFFFFF"/>
        </w:rPr>
        <w:t>MTDC</w:t>
      </w:r>
      <w:r w:rsidRPr="001C6737">
        <w:rPr>
          <w:rFonts w:ascii="Helvetica" w:hAnsi="Helvetica" w:cs="Helvetica"/>
          <w:color w:val="000000"/>
          <w:shd w:val="clear" w:color="auto" w:fill="FFFFFF"/>
        </w:rPr>
        <w:t> means all direct salaries and wages, applicable fringe benefits, materials and </w:t>
      </w:r>
      <w:hyperlink r:id="rId8" w:history="1">
        <w:r w:rsidRPr="001C6737">
          <w:rPr>
            <w:rStyle w:val="Hyperlink"/>
            <w:rFonts w:ascii="Helvetica" w:hAnsi="Helvetica" w:cs="Helvetica"/>
            <w:color w:val="auto"/>
            <w:u w:val="none"/>
            <w:shd w:val="clear" w:color="auto" w:fill="FFFFFF"/>
          </w:rPr>
          <w:t>supplies</w:t>
        </w:r>
      </w:hyperlink>
      <w:r w:rsidRPr="001C6737">
        <w:rPr>
          <w:rFonts w:ascii="Helvetica" w:hAnsi="Helvetica" w:cs="Helvetica"/>
          <w:shd w:val="clear" w:color="auto" w:fill="FFFFFF"/>
        </w:rPr>
        <w:t xml:space="preserve">, services, travel, and up to the first $25,000 of </w:t>
      </w:r>
      <w:r w:rsidR="00CA4BC1" w:rsidRPr="001C6737">
        <w:rPr>
          <w:rFonts w:ascii="Helvetica" w:hAnsi="Helvetica" w:cs="Helvetica"/>
          <w:shd w:val="clear" w:color="auto" w:fill="FFFFFF"/>
        </w:rPr>
        <w:t>e</w:t>
      </w:r>
      <w:r w:rsidRPr="001C6737">
        <w:rPr>
          <w:rFonts w:ascii="Helvetica" w:hAnsi="Helvetica" w:cs="Helvetica"/>
          <w:shd w:val="clear" w:color="auto" w:fill="FFFFFF"/>
        </w:rPr>
        <w:t>ach </w:t>
      </w:r>
      <w:hyperlink r:id="rId9" w:history="1">
        <w:r w:rsidRPr="001C6737">
          <w:rPr>
            <w:rStyle w:val="Hyperlink"/>
            <w:rFonts w:ascii="Helvetica" w:hAnsi="Helvetica" w:cs="Helvetica"/>
            <w:color w:val="auto"/>
            <w:u w:val="none"/>
            <w:shd w:val="clear" w:color="auto" w:fill="FFFFFF"/>
          </w:rPr>
          <w:t>subaward</w:t>
        </w:r>
      </w:hyperlink>
      <w:r w:rsidRPr="001C6737">
        <w:rPr>
          <w:rFonts w:ascii="Helvetica" w:hAnsi="Helvetica" w:cs="Helvetica"/>
          <w:shd w:val="clear" w:color="auto" w:fill="FFFFFF"/>
        </w:rPr>
        <w:t> (regardless of the </w:t>
      </w:r>
      <w:hyperlink r:id="rId10" w:history="1">
        <w:r w:rsidRPr="001C6737">
          <w:rPr>
            <w:rStyle w:val="Hyperlink"/>
            <w:rFonts w:ascii="Helvetica" w:hAnsi="Helvetica" w:cs="Helvetica"/>
            <w:color w:val="auto"/>
            <w:u w:val="none"/>
            <w:shd w:val="clear" w:color="auto" w:fill="FFFFFF"/>
          </w:rPr>
          <w:t>period of performance</w:t>
        </w:r>
      </w:hyperlink>
      <w:r w:rsidRPr="001C6737">
        <w:rPr>
          <w:rFonts w:ascii="Helvetica" w:hAnsi="Helvetica" w:cs="Helvetica"/>
          <w:shd w:val="clear" w:color="auto" w:fill="FFFFFF"/>
        </w:rPr>
        <w:t> of the </w:t>
      </w:r>
      <w:hyperlink r:id="rId11" w:history="1">
        <w:r w:rsidRPr="001C6737">
          <w:rPr>
            <w:rStyle w:val="Hyperlink"/>
            <w:rFonts w:ascii="Helvetica" w:hAnsi="Helvetica" w:cs="Helvetica"/>
            <w:color w:val="auto"/>
            <w:u w:val="none"/>
            <w:shd w:val="clear" w:color="auto" w:fill="FFFFFF"/>
          </w:rPr>
          <w:t>subawards</w:t>
        </w:r>
      </w:hyperlink>
      <w:r w:rsidRPr="001C6737">
        <w:rPr>
          <w:rFonts w:ascii="Helvetica" w:hAnsi="Helvetica" w:cs="Helvetica"/>
          <w:shd w:val="clear" w:color="auto" w:fill="FFFFFF"/>
        </w:rPr>
        <w:t> under the award). </w:t>
      </w:r>
      <w:hyperlink r:id="rId12" w:history="1">
        <w:r w:rsidRPr="001C6737">
          <w:rPr>
            <w:rStyle w:val="Hyperlink"/>
            <w:rFonts w:ascii="Helvetica" w:hAnsi="Helvetica" w:cs="Helvetica"/>
            <w:color w:val="auto"/>
            <w:u w:val="none"/>
            <w:shd w:val="clear" w:color="auto" w:fill="FFFFFF"/>
          </w:rPr>
          <w:t>MTDC</w:t>
        </w:r>
      </w:hyperlink>
      <w:r w:rsidRPr="001C6737">
        <w:rPr>
          <w:rFonts w:ascii="Helvetica" w:hAnsi="Helvetica" w:cs="Helvetica"/>
          <w:shd w:val="clear" w:color="auto" w:fill="FFFFFF"/>
        </w:rPr>
        <w:t> excludes </w:t>
      </w:r>
      <w:hyperlink r:id="rId13" w:history="1">
        <w:r w:rsidRPr="001C6737">
          <w:rPr>
            <w:rStyle w:val="Hyperlink"/>
            <w:rFonts w:ascii="Helvetica" w:hAnsi="Helvetica" w:cs="Helvetica"/>
            <w:color w:val="auto"/>
            <w:u w:val="none"/>
            <w:shd w:val="clear" w:color="auto" w:fill="FFFFFF"/>
          </w:rPr>
          <w:t>equipment</w:t>
        </w:r>
      </w:hyperlink>
      <w:r w:rsidRPr="001C6737">
        <w:rPr>
          <w:rFonts w:ascii="Helvetica" w:hAnsi="Helvetica" w:cs="Helvetica"/>
          <w:shd w:val="clear" w:color="auto" w:fill="FFFFFF"/>
        </w:rPr>
        <w:t>, </w:t>
      </w:r>
      <w:hyperlink r:id="rId14" w:history="1">
        <w:r w:rsidRPr="001C6737">
          <w:rPr>
            <w:rStyle w:val="Hyperlink"/>
            <w:rFonts w:ascii="Helvetica" w:hAnsi="Helvetica" w:cs="Helvetica"/>
            <w:color w:val="auto"/>
            <w:u w:val="none"/>
            <w:shd w:val="clear" w:color="auto" w:fill="FFFFFF"/>
          </w:rPr>
          <w:t>capital expenditures</w:t>
        </w:r>
      </w:hyperlink>
      <w:r w:rsidRPr="001C6737">
        <w:rPr>
          <w:rFonts w:ascii="Helvetica" w:hAnsi="Helvetica" w:cs="Helvetica"/>
          <w:shd w:val="clear" w:color="auto" w:fill="FFFFFF"/>
        </w:rPr>
        <w:t>, charges for patient care, rental costs, tuition remission, scholarships and fellowships, </w:t>
      </w:r>
      <w:hyperlink r:id="rId15" w:history="1">
        <w:r w:rsidRPr="001C6737">
          <w:rPr>
            <w:rStyle w:val="Hyperlink"/>
            <w:rFonts w:ascii="Helvetica" w:hAnsi="Helvetica" w:cs="Helvetica"/>
            <w:color w:val="auto"/>
            <w:u w:val="none"/>
            <w:shd w:val="clear" w:color="auto" w:fill="FFFFFF"/>
          </w:rPr>
          <w:t>participant support costs</w:t>
        </w:r>
      </w:hyperlink>
      <w:r w:rsidRPr="001C6737">
        <w:rPr>
          <w:rFonts w:ascii="Helvetica" w:hAnsi="Helvetica" w:cs="Helvetica"/>
          <w:shd w:val="clear" w:color="auto" w:fill="FFFFFF"/>
        </w:rPr>
        <w:t> and the portion of each </w:t>
      </w:r>
      <w:hyperlink r:id="rId16" w:history="1">
        <w:r w:rsidRPr="001C6737">
          <w:rPr>
            <w:rStyle w:val="Hyperlink"/>
            <w:rFonts w:ascii="Helvetica" w:hAnsi="Helvetica" w:cs="Helvetica"/>
            <w:color w:val="auto"/>
            <w:u w:val="none"/>
            <w:shd w:val="clear" w:color="auto" w:fill="FFFFFF"/>
          </w:rPr>
          <w:t>subaward</w:t>
        </w:r>
      </w:hyperlink>
      <w:r w:rsidRPr="001C6737">
        <w:rPr>
          <w:rFonts w:ascii="Helvetica" w:hAnsi="Helvetica" w:cs="Helvetica"/>
          <w:shd w:val="clear" w:color="auto" w:fill="FFFFFF"/>
        </w:rPr>
        <w:t> in excess of $25,000. Other items may only be excluded when necessary to avoid a serious inequity in the distribution of indirect costs, and with the approval of the </w:t>
      </w:r>
      <w:hyperlink r:id="rId17" w:history="1">
        <w:r w:rsidRPr="001C6737">
          <w:rPr>
            <w:rStyle w:val="Hyperlink"/>
            <w:rFonts w:ascii="Helvetica" w:hAnsi="Helvetica" w:cs="Helvetica"/>
            <w:color w:val="auto"/>
            <w:u w:val="none"/>
            <w:shd w:val="clear" w:color="auto" w:fill="FFFFFF"/>
          </w:rPr>
          <w:t>cognizant agency for indirect costs</w:t>
        </w:r>
      </w:hyperlink>
      <w:r w:rsidRPr="001C6737">
        <w:rPr>
          <w:rFonts w:ascii="Helvetica" w:hAnsi="Helvetica" w:cs="Helvetica"/>
          <w:shd w:val="clear" w:color="auto" w:fill="FFFFFF"/>
        </w:rPr>
        <w:t>.</w:t>
      </w:r>
      <w:r w:rsidR="00DF11C0" w:rsidRPr="001C6737">
        <w:rPr>
          <w:rFonts w:ascii="Helvetica" w:eastAsia="Times New Roman" w:hAnsi="Helvetica" w:cs="Helvetica"/>
          <w:sz w:val="21"/>
          <w:szCs w:val="21"/>
        </w:rPr>
        <w:br/>
      </w:r>
      <w:r w:rsidR="00DF11C0" w:rsidRPr="001C6737">
        <w:rPr>
          <w:rFonts w:ascii="Helvetica" w:eastAsia="Times New Roman" w:hAnsi="Helvetica" w:cs="Helvetica"/>
          <w:noProof/>
          <w:sz w:val="24"/>
          <w:szCs w:val="24"/>
        </w:rPr>
        <w:drawing>
          <wp:inline distT="0" distB="0" distL="0" distR="0" wp14:anchorId="582261A0" wp14:editId="6962E827">
            <wp:extent cx="3568700" cy="6350"/>
            <wp:effectExtent l="0" t="0" r="0" b="0"/>
            <wp:docPr id="6" name="Picture 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68700" cy="6350"/>
                    </a:xfrm>
                    <a:prstGeom prst="rect">
                      <a:avLst/>
                    </a:prstGeom>
                    <a:noFill/>
                    <a:ln>
                      <a:noFill/>
                    </a:ln>
                  </pic:spPr>
                </pic:pic>
              </a:graphicData>
            </a:graphic>
          </wp:inline>
        </w:drawing>
      </w:r>
      <w:r w:rsidR="00DF11C0" w:rsidRPr="001C6737">
        <w:rPr>
          <w:rFonts w:ascii="Helvetica" w:eastAsia="Times New Roman" w:hAnsi="Helvetica" w:cs="Helvetica"/>
          <w:sz w:val="21"/>
          <w:szCs w:val="21"/>
        </w:rPr>
        <w:br/>
      </w:r>
    </w:p>
    <w:sectPr w:rsidR="00DF11C0" w:rsidRPr="001C6737">
      <w:head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A2D3FE" w14:textId="77777777" w:rsidR="008F7691" w:rsidRDefault="008F7691" w:rsidP="008F7691">
      <w:pPr>
        <w:spacing w:after="0" w:line="240" w:lineRule="auto"/>
      </w:pPr>
      <w:r>
        <w:separator/>
      </w:r>
    </w:p>
  </w:endnote>
  <w:endnote w:type="continuationSeparator" w:id="0">
    <w:p w14:paraId="3D661500" w14:textId="77777777" w:rsidR="008F7691" w:rsidRDefault="008F7691" w:rsidP="008F76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0226A2" w14:textId="77777777" w:rsidR="008F7691" w:rsidRDefault="008F7691" w:rsidP="008F7691">
      <w:pPr>
        <w:spacing w:after="0" w:line="240" w:lineRule="auto"/>
      </w:pPr>
      <w:r>
        <w:separator/>
      </w:r>
    </w:p>
  </w:footnote>
  <w:footnote w:type="continuationSeparator" w:id="0">
    <w:p w14:paraId="2890D30D" w14:textId="77777777" w:rsidR="008F7691" w:rsidRDefault="008F7691" w:rsidP="008F76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F0A13" w14:textId="0A825238" w:rsidR="008F7691" w:rsidRDefault="008F7691">
    <w:pPr>
      <w:pStyle w:val="Header"/>
    </w:pPr>
    <w:r>
      <w:t>Updated 8/1</w:t>
    </w:r>
    <w:r w:rsidR="00C834F8">
      <w:t>8</w:t>
    </w:r>
    <w:r>
      <w:t>/2022</w:t>
    </w:r>
  </w:p>
  <w:p w14:paraId="134E2528" w14:textId="77777777" w:rsidR="008F7691" w:rsidRDefault="008F76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AC4692"/>
    <w:multiLevelType w:val="hybridMultilevel"/>
    <w:tmpl w:val="62CE111A"/>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353685"/>
    <w:multiLevelType w:val="hybridMultilevel"/>
    <w:tmpl w:val="7C88F46E"/>
    <w:lvl w:ilvl="0" w:tplc="F228A6D4">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C9A723D"/>
    <w:multiLevelType w:val="hybridMultilevel"/>
    <w:tmpl w:val="847AD464"/>
    <w:lvl w:ilvl="0" w:tplc="8A766630">
      <w:start w:val="1"/>
      <w:numFmt w:val="decimal"/>
      <w:lvlText w:val="%1."/>
      <w:lvlJc w:val="left"/>
      <w:pPr>
        <w:ind w:left="720" w:hanging="360"/>
      </w:pPr>
      <w:rPr>
        <w:rFonts w:asciiTheme="minorHAnsi" w:eastAsiaTheme="minorHAnsi" w:hAnsiTheme="minorHAnsi"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1C0"/>
    <w:rsid w:val="00013C03"/>
    <w:rsid w:val="000C37ED"/>
    <w:rsid w:val="000F1D57"/>
    <w:rsid w:val="001C6737"/>
    <w:rsid w:val="002266AB"/>
    <w:rsid w:val="00244726"/>
    <w:rsid w:val="002B3E41"/>
    <w:rsid w:val="0032225F"/>
    <w:rsid w:val="003756C6"/>
    <w:rsid w:val="003E18A0"/>
    <w:rsid w:val="00416054"/>
    <w:rsid w:val="005721B4"/>
    <w:rsid w:val="005C7330"/>
    <w:rsid w:val="00622CEC"/>
    <w:rsid w:val="007128BE"/>
    <w:rsid w:val="00771196"/>
    <w:rsid w:val="00873E2F"/>
    <w:rsid w:val="008D018B"/>
    <w:rsid w:val="008F7691"/>
    <w:rsid w:val="009001C1"/>
    <w:rsid w:val="009D193A"/>
    <w:rsid w:val="00A51189"/>
    <w:rsid w:val="00B11553"/>
    <w:rsid w:val="00C53E09"/>
    <w:rsid w:val="00C834F8"/>
    <w:rsid w:val="00CA4BC1"/>
    <w:rsid w:val="00DD7FF5"/>
    <w:rsid w:val="00DF11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E25AC"/>
  <w15:chartTrackingRefBased/>
  <w15:docId w15:val="{A1D55697-ECA0-4D55-BEC7-D3CBB4559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ctioncolortext">
    <w:name w:val="sectioncolortext"/>
    <w:basedOn w:val="DefaultParagraphFont"/>
    <w:rsid w:val="00DF11C0"/>
  </w:style>
  <w:style w:type="character" w:customStyle="1" w:styleId="contenttext">
    <w:name w:val="contenttext"/>
    <w:basedOn w:val="DefaultParagraphFont"/>
    <w:rsid w:val="00DF11C0"/>
  </w:style>
  <w:style w:type="paragraph" w:styleId="NormalWeb">
    <w:name w:val="Normal (Web)"/>
    <w:basedOn w:val="Normal"/>
    <w:uiPriority w:val="99"/>
    <w:semiHidden/>
    <w:unhideWhenUsed/>
    <w:rsid w:val="00DF11C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olink">
    <w:name w:val="golink"/>
    <w:basedOn w:val="DefaultParagraphFont"/>
    <w:rsid w:val="00DF11C0"/>
  </w:style>
  <w:style w:type="character" w:styleId="Hyperlink">
    <w:name w:val="Hyperlink"/>
    <w:basedOn w:val="DefaultParagraphFont"/>
    <w:uiPriority w:val="99"/>
    <w:semiHidden/>
    <w:unhideWhenUsed/>
    <w:rsid w:val="00DF11C0"/>
    <w:rPr>
      <w:color w:val="0000FF"/>
      <w:u w:val="single"/>
    </w:rPr>
  </w:style>
  <w:style w:type="character" w:customStyle="1" w:styleId="et03">
    <w:name w:val="et03"/>
    <w:basedOn w:val="DefaultParagraphFont"/>
    <w:rsid w:val="0032225F"/>
  </w:style>
  <w:style w:type="paragraph" w:styleId="ListParagraph">
    <w:name w:val="List Paragraph"/>
    <w:basedOn w:val="Normal"/>
    <w:uiPriority w:val="34"/>
    <w:qFormat/>
    <w:rsid w:val="00771196"/>
    <w:pPr>
      <w:ind w:left="720"/>
      <w:contextualSpacing/>
    </w:pPr>
  </w:style>
  <w:style w:type="paragraph" w:styleId="Revision">
    <w:name w:val="Revision"/>
    <w:hidden/>
    <w:uiPriority w:val="99"/>
    <w:semiHidden/>
    <w:rsid w:val="00416054"/>
    <w:pPr>
      <w:spacing w:after="0" w:line="240" w:lineRule="auto"/>
    </w:pPr>
  </w:style>
  <w:style w:type="character" w:styleId="CommentReference">
    <w:name w:val="annotation reference"/>
    <w:basedOn w:val="DefaultParagraphFont"/>
    <w:uiPriority w:val="99"/>
    <w:semiHidden/>
    <w:unhideWhenUsed/>
    <w:rsid w:val="009D193A"/>
    <w:rPr>
      <w:sz w:val="16"/>
      <w:szCs w:val="16"/>
    </w:rPr>
  </w:style>
  <w:style w:type="paragraph" w:styleId="CommentText">
    <w:name w:val="annotation text"/>
    <w:basedOn w:val="Normal"/>
    <w:link w:val="CommentTextChar"/>
    <w:uiPriority w:val="99"/>
    <w:unhideWhenUsed/>
    <w:rsid w:val="009D193A"/>
    <w:pPr>
      <w:spacing w:line="240" w:lineRule="auto"/>
    </w:pPr>
    <w:rPr>
      <w:sz w:val="20"/>
      <w:szCs w:val="20"/>
    </w:rPr>
  </w:style>
  <w:style w:type="character" w:customStyle="1" w:styleId="CommentTextChar">
    <w:name w:val="Comment Text Char"/>
    <w:basedOn w:val="DefaultParagraphFont"/>
    <w:link w:val="CommentText"/>
    <w:uiPriority w:val="99"/>
    <w:rsid w:val="009D193A"/>
    <w:rPr>
      <w:sz w:val="20"/>
      <w:szCs w:val="20"/>
    </w:rPr>
  </w:style>
  <w:style w:type="paragraph" w:styleId="CommentSubject">
    <w:name w:val="annotation subject"/>
    <w:basedOn w:val="CommentText"/>
    <w:next w:val="CommentText"/>
    <w:link w:val="CommentSubjectChar"/>
    <w:uiPriority w:val="99"/>
    <w:semiHidden/>
    <w:unhideWhenUsed/>
    <w:rsid w:val="009D193A"/>
    <w:rPr>
      <w:b/>
      <w:bCs/>
    </w:rPr>
  </w:style>
  <w:style w:type="character" w:customStyle="1" w:styleId="CommentSubjectChar">
    <w:name w:val="Comment Subject Char"/>
    <w:basedOn w:val="CommentTextChar"/>
    <w:link w:val="CommentSubject"/>
    <w:uiPriority w:val="99"/>
    <w:semiHidden/>
    <w:rsid w:val="009D193A"/>
    <w:rPr>
      <w:b/>
      <w:bCs/>
      <w:sz w:val="20"/>
      <w:szCs w:val="20"/>
    </w:rPr>
  </w:style>
  <w:style w:type="paragraph" w:styleId="Header">
    <w:name w:val="header"/>
    <w:basedOn w:val="Normal"/>
    <w:link w:val="HeaderChar"/>
    <w:uiPriority w:val="99"/>
    <w:unhideWhenUsed/>
    <w:rsid w:val="008F76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7691"/>
  </w:style>
  <w:style w:type="paragraph" w:styleId="Footer">
    <w:name w:val="footer"/>
    <w:basedOn w:val="Normal"/>
    <w:link w:val="FooterChar"/>
    <w:uiPriority w:val="99"/>
    <w:unhideWhenUsed/>
    <w:rsid w:val="008F76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76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046453">
      <w:bodyDiv w:val="1"/>
      <w:marLeft w:val="0"/>
      <w:marRight w:val="0"/>
      <w:marTop w:val="0"/>
      <w:marBottom w:val="0"/>
      <w:divBdr>
        <w:top w:val="none" w:sz="0" w:space="0" w:color="auto"/>
        <w:left w:val="none" w:sz="0" w:space="0" w:color="auto"/>
        <w:bottom w:val="none" w:sz="0" w:space="0" w:color="auto"/>
        <w:right w:val="none" w:sz="0" w:space="0" w:color="auto"/>
      </w:divBdr>
    </w:div>
    <w:div w:id="878322594">
      <w:bodyDiv w:val="1"/>
      <w:marLeft w:val="0"/>
      <w:marRight w:val="0"/>
      <w:marTop w:val="0"/>
      <w:marBottom w:val="0"/>
      <w:divBdr>
        <w:top w:val="none" w:sz="0" w:space="0" w:color="auto"/>
        <w:left w:val="none" w:sz="0" w:space="0" w:color="auto"/>
        <w:bottom w:val="none" w:sz="0" w:space="0" w:color="auto"/>
        <w:right w:val="none" w:sz="0" w:space="0" w:color="auto"/>
      </w:divBdr>
    </w:div>
    <w:div w:id="1411318464">
      <w:bodyDiv w:val="1"/>
      <w:marLeft w:val="0"/>
      <w:marRight w:val="0"/>
      <w:marTop w:val="0"/>
      <w:marBottom w:val="0"/>
      <w:divBdr>
        <w:top w:val="none" w:sz="0" w:space="0" w:color="auto"/>
        <w:left w:val="none" w:sz="0" w:space="0" w:color="auto"/>
        <w:bottom w:val="none" w:sz="0" w:space="0" w:color="auto"/>
        <w:right w:val="none" w:sz="0" w:space="0" w:color="auto"/>
      </w:divBdr>
    </w:div>
    <w:div w:id="1919094955">
      <w:bodyDiv w:val="1"/>
      <w:marLeft w:val="0"/>
      <w:marRight w:val="0"/>
      <w:marTop w:val="0"/>
      <w:marBottom w:val="0"/>
      <w:divBdr>
        <w:top w:val="none" w:sz="0" w:space="0" w:color="auto"/>
        <w:left w:val="none" w:sz="0" w:space="0" w:color="auto"/>
        <w:bottom w:val="none" w:sz="0" w:space="0" w:color="auto"/>
        <w:right w:val="none" w:sz="0" w:space="0" w:color="auto"/>
      </w:divBdr>
    </w:div>
    <w:div w:id="1931503875">
      <w:bodyDiv w:val="1"/>
      <w:marLeft w:val="0"/>
      <w:marRight w:val="0"/>
      <w:marTop w:val="0"/>
      <w:marBottom w:val="0"/>
      <w:divBdr>
        <w:top w:val="none" w:sz="0" w:space="0" w:color="auto"/>
        <w:left w:val="none" w:sz="0" w:space="0" w:color="auto"/>
        <w:bottom w:val="none" w:sz="0" w:space="0" w:color="auto"/>
        <w:right w:val="none" w:sz="0" w:space="0" w:color="auto"/>
      </w:divBdr>
    </w:div>
    <w:div w:id="2048795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w.cornell.edu/definitions/index.php?width=840&amp;height=800&amp;iframe=true&amp;def_id=417f307e32260214332b0cf1264dd8af&amp;term_occur=999&amp;term_src=Title:2:Subtitle:A:Chapter:II:Part:200:Subpart:A:Subjgrp:27:200.68" TargetMode="External"/><Relationship Id="rId13" Type="http://schemas.openxmlformats.org/officeDocument/2006/relationships/hyperlink" Target="https://www.law.cornell.edu/definitions/index.php?width=840&amp;height=800&amp;iframe=true&amp;def_id=b1658c99a7150eed9938e13b0cc5d5e6&amp;term_occur=999&amp;term_src=Title:2:Subtitle:A:Chapter:II:Part:200:Subpart:A:Subjgrp:27:200.68"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hyperlink" Target="https://www.law.cornell.edu/definitions/index.php?width=840&amp;height=800&amp;iframe=true&amp;def_id=d46331da5e6eb0aa01247862c3421bd0&amp;term_occur=999&amp;term_src=Title:2:Subtitle:A:Chapter:II:Part:200:Subpart:A:Subjgrp:27:200.68" TargetMode="External"/><Relationship Id="rId17" Type="http://schemas.openxmlformats.org/officeDocument/2006/relationships/hyperlink" Target="https://www.law.cornell.edu/definitions/index.php?width=840&amp;height=800&amp;iframe=true&amp;def_id=9cd550a3cf4c42cf2d2357cb601da43e&amp;term_occur=999&amp;term_src=Title:2:Subtitle:A:Chapter:II:Part:200:Subpart:A:Subjgrp:27:200.68" TargetMode="External"/><Relationship Id="rId2" Type="http://schemas.openxmlformats.org/officeDocument/2006/relationships/styles" Target="styles.xml"/><Relationship Id="rId16" Type="http://schemas.openxmlformats.org/officeDocument/2006/relationships/hyperlink" Target="https://www.law.cornell.edu/definitions/index.php?width=840&amp;height=800&amp;iframe=true&amp;def_id=fc38ec96e3dffd2a5e63c7bfd1694f16&amp;term_occur=999&amp;term_src=Title:2:Subtitle:A:Chapter:II:Part:200:Subpart:A:Subjgrp:27:200.68"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aw.cornell.edu/definitions/index.php?width=840&amp;height=800&amp;iframe=true&amp;def_id=fc38ec96e3dffd2a5e63c7bfd1694f16&amp;term_occur=999&amp;term_src=Title:2:Subtitle:A:Chapter:II:Part:200:Subpart:A:Subjgrp:27:200.68" TargetMode="External"/><Relationship Id="rId5" Type="http://schemas.openxmlformats.org/officeDocument/2006/relationships/footnotes" Target="footnotes.xml"/><Relationship Id="rId15" Type="http://schemas.openxmlformats.org/officeDocument/2006/relationships/hyperlink" Target="https://www.law.cornell.edu/definitions/index.php?width=840&amp;height=800&amp;iframe=true&amp;def_id=1a54ee02136787ae269a923c651a1aae&amp;term_occur=999&amp;term_src=Title:2:Subtitle:A:Chapter:II:Part:200:Subpart:A:Subjgrp:27:200.68" TargetMode="External"/><Relationship Id="rId10" Type="http://schemas.openxmlformats.org/officeDocument/2006/relationships/hyperlink" Target="https://www.law.cornell.edu/definitions/index.php?width=840&amp;height=800&amp;iframe=true&amp;def_id=1f4a4b0c837c4e92936c5b313aaa873a&amp;term_occur=999&amp;term_src=Title:2:Subtitle:A:Chapter:II:Part:200:Subpart:A:Subjgrp:27:200.68"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law.cornell.edu/definitions/index.php?width=840&amp;height=800&amp;iframe=true&amp;def_id=fc38ec96e3dffd2a5e63c7bfd1694f16&amp;term_occur=999&amp;term_src=Title:2:Subtitle:A:Chapter:II:Part:200:Subpart:A:Subjgrp:27:200.68" TargetMode="External"/><Relationship Id="rId14" Type="http://schemas.openxmlformats.org/officeDocument/2006/relationships/hyperlink" Target="https://www.law.cornell.edu/definitions/index.php?width=840&amp;height=800&amp;iframe=true&amp;def_id=6158962773804b5879fa42fa9517e10f&amp;term_occur=999&amp;term_src=Title:2:Subtitle:A:Chapter:II:Part:200:Subpart:A:Subjgrp:27:200.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917</Words>
  <Characters>5233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Department of Education</Company>
  <LinksUpToDate>false</LinksUpToDate>
  <CharactersWithSpaces>6138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Clark, Njeri</dc:creator>
  <cp:keywords/>
  <dc:description/>
  <cp:lastModifiedBy>Clark, Njeri</cp:lastModifiedBy>
  <cp:revision>2</cp:revision>
  <dcterms:created xsi:type="dcterms:W3CDTF">2022-08-18T14:36:00Z</dcterms:created>
  <dcterms:modified xsi:type="dcterms:W3CDTF">2022-08-18T14:36:00Z</dcterms:modified>
</cp:coreProperties>
</file>