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F6BD" w14:textId="77777777" w:rsidR="00876F1B" w:rsidRPr="00D553E9" w:rsidRDefault="2FDE5C63" w:rsidP="00876F1B">
      <w:pPr>
        <w:pStyle w:val="paragraph"/>
        <w:spacing w:before="0" w:beforeAutospacing="0" w:after="0" w:afterAutospacing="0"/>
        <w:jc w:val="center"/>
        <w:textAlignment w:val="baseline"/>
        <w:rPr>
          <w:color w:val="000000"/>
        </w:rPr>
      </w:pPr>
      <w:r w:rsidRPr="00D553E9">
        <w:rPr>
          <w:b/>
          <w:bCs/>
          <w:bdr w:val="none" w:sz="0" w:space="0" w:color="auto" w:frame="1"/>
        </w:rPr>
        <w:t>U</w:t>
      </w:r>
      <w:r w:rsidR="00B61396" w:rsidRPr="00D553E9">
        <w:rPr>
          <w:b/>
          <w:bCs/>
          <w:bdr w:val="none" w:sz="0" w:space="0" w:color="auto" w:frame="1"/>
        </w:rPr>
        <w:t>.S. DEPARTMENT OF STATE</w:t>
      </w:r>
      <w:r w:rsidR="00B61396" w:rsidRPr="00D553E9">
        <w:rPr>
          <w:b/>
          <w:bCs/>
          <w:bdr w:val="none" w:sz="0" w:space="0" w:color="auto" w:frame="1"/>
        </w:rPr>
        <w:br/>
      </w:r>
      <w:r w:rsidR="00876F1B" w:rsidRPr="00D553E9">
        <w:rPr>
          <w:rStyle w:val="normaltextrun"/>
          <w:b/>
          <w:bCs/>
          <w:color w:val="000000"/>
        </w:rPr>
        <w:t>Bureau of International Security and Nonproliferation</w:t>
      </w:r>
      <w:r w:rsidR="00876F1B" w:rsidRPr="00D553E9">
        <w:rPr>
          <w:rStyle w:val="eop"/>
          <w:color w:val="000000"/>
        </w:rPr>
        <w:t> </w:t>
      </w:r>
    </w:p>
    <w:p w14:paraId="592F9A3C" w14:textId="77777777" w:rsidR="00876F1B" w:rsidRPr="00D553E9" w:rsidRDefault="00876F1B" w:rsidP="00876F1B">
      <w:pPr>
        <w:pStyle w:val="paragraph"/>
        <w:spacing w:before="0" w:beforeAutospacing="0" w:after="0" w:afterAutospacing="0"/>
        <w:jc w:val="center"/>
        <w:textAlignment w:val="baseline"/>
        <w:rPr>
          <w:color w:val="000000"/>
        </w:rPr>
      </w:pPr>
      <w:r w:rsidRPr="00D553E9">
        <w:rPr>
          <w:rStyle w:val="normaltextrun"/>
          <w:b/>
          <w:bCs/>
          <w:color w:val="000000"/>
        </w:rPr>
        <w:t>Office of Cooperative Threat Reduction (ISN/CTR)</w:t>
      </w:r>
      <w:r w:rsidRPr="00D553E9">
        <w:rPr>
          <w:rStyle w:val="eop"/>
          <w:color w:val="000000"/>
        </w:rPr>
        <w:t> </w:t>
      </w:r>
    </w:p>
    <w:p w14:paraId="06D04975" w14:textId="123CC717" w:rsidR="00B61396" w:rsidRPr="00D553E9" w:rsidRDefault="00B61396" w:rsidP="5DB6A8C2">
      <w:pPr>
        <w:spacing w:after="0" w:line="240" w:lineRule="auto"/>
        <w:jc w:val="center"/>
        <w:rPr>
          <w:rFonts w:ascii="Times New Roman" w:eastAsia="Times New Roman" w:hAnsi="Times New Roman" w:cs="Times New Roman"/>
          <w:color w:val="FF0000"/>
          <w:sz w:val="24"/>
          <w:szCs w:val="24"/>
        </w:rPr>
      </w:pPr>
    </w:p>
    <w:p w14:paraId="501A587F" w14:textId="77777777" w:rsidR="0023368A" w:rsidRPr="00D553E9"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D553E9"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89AECEE" w14:textId="77777777" w:rsidR="002E3C08" w:rsidRPr="004651A9" w:rsidRDefault="002E3C08" w:rsidP="002E3C08">
      <w:pPr>
        <w:spacing w:after="0" w:line="240" w:lineRule="auto"/>
        <w:ind w:left="3600" w:hanging="3600"/>
        <w:rPr>
          <w:rFonts w:ascii="Times New Roman" w:eastAsia="Times New Roman" w:hAnsi="Times New Roman" w:cs="Times New Roman"/>
          <w:b/>
          <w:bCs/>
          <w:i/>
          <w:iCs/>
          <w:sz w:val="24"/>
          <w:szCs w:val="24"/>
        </w:rPr>
      </w:pPr>
      <w:r w:rsidRPr="004651A9">
        <w:rPr>
          <w:rFonts w:ascii="Times New Roman" w:eastAsia="Times New Roman" w:hAnsi="Times New Roman" w:cs="Times New Roman"/>
          <w:b/>
          <w:bCs/>
          <w:sz w:val="24"/>
          <w:szCs w:val="24"/>
          <w:bdr w:val="none" w:sz="0" w:space="0" w:color="auto" w:frame="1"/>
        </w:rPr>
        <w:t xml:space="preserve">Funding Opportunity Title:  </w:t>
      </w:r>
      <w:r w:rsidRPr="004651A9">
        <w:rPr>
          <w:rFonts w:ascii="Times New Roman" w:eastAsia="Times New Roman" w:hAnsi="Times New Roman" w:cs="Times New Roman"/>
          <w:b/>
          <w:bCs/>
          <w:sz w:val="24"/>
          <w:szCs w:val="24"/>
          <w:bdr w:val="none" w:sz="0" w:space="0" w:color="auto" w:frame="1"/>
        </w:rPr>
        <w:tab/>
      </w:r>
      <w:r>
        <w:rPr>
          <w:rFonts w:ascii="Times New Roman" w:eastAsia="Times New Roman" w:hAnsi="Times New Roman" w:cs="Times New Roman"/>
          <w:b/>
          <w:bCs/>
          <w:sz w:val="24"/>
          <w:szCs w:val="24"/>
          <w:bdr w:val="none" w:sz="0" w:space="0" w:color="auto" w:frame="1"/>
        </w:rPr>
        <w:t>Addressing the Impacts of Proliferator State</w:t>
      </w:r>
      <w:r w:rsidRPr="004651A9">
        <w:rPr>
          <w:rFonts w:ascii="Times New Roman" w:eastAsia="Times New Roman" w:hAnsi="Times New Roman" w:cs="Times New Roman"/>
          <w:b/>
          <w:bCs/>
          <w:sz w:val="24"/>
          <w:szCs w:val="24"/>
          <w:bdr w:val="none" w:sz="0" w:space="0" w:color="auto" w:frame="1"/>
        </w:rPr>
        <w:t xml:space="preserve"> Advanced Conventional Weapons </w:t>
      </w:r>
    </w:p>
    <w:p w14:paraId="2A802733" w14:textId="1253821E" w:rsidR="002E3C08" w:rsidRPr="002E3C08" w:rsidRDefault="002E3C08" w:rsidP="002E3C08">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4651A9">
        <w:rPr>
          <w:rFonts w:ascii="Times New Roman" w:eastAsia="Times New Roman" w:hAnsi="Times New Roman" w:cs="Times New Roman"/>
          <w:b/>
          <w:bCs/>
          <w:sz w:val="24"/>
          <w:szCs w:val="24"/>
          <w:bdr w:val="none" w:sz="0" w:space="0" w:color="auto" w:frame="1"/>
        </w:rPr>
        <w:t>Funding Opportunity Number: </w:t>
      </w:r>
      <w:r w:rsidR="001F2ED9">
        <w:rPr>
          <w:rFonts w:ascii="Times New Roman" w:eastAsia="Times New Roman" w:hAnsi="Times New Roman" w:cs="Times New Roman"/>
          <w:b/>
          <w:bCs/>
          <w:sz w:val="24"/>
          <w:szCs w:val="24"/>
          <w:bdr w:val="none" w:sz="0" w:space="0" w:color="auto" w:frame="1"/>
        </w:rPr>
        <w:tab/>
      </w:r>
      <w:r w:rsidRPr="002E3C08">
        <w:rPr>
          <w:rFonts w:ascii="Times New Roman" w:eastAsia="Times New Roman" w:hAnsi="Times New Roman" w:cs="Times New Roman"/>
          <w:b/>
          <w:bCs/>
          <w:sz w:val="24"/>
          <w:szCs w:val="24"/>
        </w:rPr>
        <w:t>SFOP0009234</w:t>
      </w:r>
    </w:p>
    <w:p w14:paraId="116CA6F9" w14:textId="0AF8BEE2" w:rsidR="002E3C08" w:rsidRPr="004651A9" w:rsidRDefault="002E3C08" w:rsidP="002E3C08">
      <w:pPr>
        <w:spacing w:after="0" w:line="240" w:lineRule="auto"/>
        <w:rPr>
          <w:rFonts w:ascii="Times New Roman" w:eastAsia="Times New Roman" w:hAnsi="Times New Roman" w:cs="Times New Roman"/>
          <w:b/>
          <w:bCs/>
          <w:sz w:val="24"/>
          <w:szCs w:val="24"/>
        </w:rPr>
      </w:pPr>
      <w:r w:rsidRPr="002E3C08">
        <w:rPr>
          <w:rFonts w:ascii="Times New Roman" w:eastAsia="Times New Roman" w:hAnsi="Times New Roman" w:cs="Times New Roman"/>
          <w:b/>
          <w:bCs/>
          <w:sz w:val="24"/>
          <w:szCs w:val="24"/>
        </w:rPr>
        <w:t xml:space="preserve">Deadline for Applications: </w:t>
      </w:r>
      <w:r w:rsidRPr="002E3C08">
        <w:rPr>
          <w:rFonts w:ascii="Times New Roman" w:eastAsia="Times New Roman" w:hAnsi="Times New Roman" w:cs="Times New Roman"/>
          <w:b/>
          <w:bCs/>
          <w:sz w:val="24"/>
          <w:szCs w:val="24"/>
        </w:rPr>
        <w:tab/>
      </w:r>
      <w:r w:rsidRPr="002E3C08">
        <w:rPr>
          <w:rFonts w:ascii="Times New Roman" w:eastAsia="Times New Roman" w:hAnsi="Times New Roman" w:cs="Times New Roman"/>
          <w:b/>
          <w:bCs/>
          <w:sz w:val="24"/>
          <w:szCs w:val="24"/>
        </w:rPr>
        <w:tab/>
        <w:t>January 31, 2023,</w:t>
      </w:r>
      <w:r w:rsidRPr="004651A9">
        <w:rPr>
          <w:rFonts w:ascii="Times New Roman" w:eastAsia="Times New Roman" w:hAnsi="Times New Roman" w:cs="Times New Roman"/>
          <w:b/>
          <w:bCs/>
          <w:sz w:val="24"/>
          <w:szCs w:val="24"/>
        </w:rPr>
        <w:t xml:space="preserve"> 11:59PM E</w:t>
      </w:r>
      <w:r>
        <w:rPr>
          <w:rFonts w:ascii="Times New Roman" w:eastAsia="Times New Roman" w:hAnsi="Times New Roman" w:cs="Times New Roman"/>
          <w:b/>
          <w:bCs/>
          <w:sz w:val="24"/>
          <w:szCs w:val="24"/>
        </w:rPr>
        <w:t>S</w:t>
      </w:r>
      <w:r w:rsidRPr="004651A9">
        <w:rPr>
          <w:rFonts w:ascii="Times New Roman" w:eastAsia="Times New Roman" w:hAnsi="Times New Roman" w:cs="Times New Roman"/>
          <w:b/>
          <w:bCs/>
          <w:sz w:val="24"/>
          <w:szCs w:val="24"/>
        </w:rPr>
        <w:t>T</w:t>
      </w:r>
    </w:p>
    <w:p w14:paraId="104E50F6" w14:textId="77777777" w:rsidR="002E3C08" w:rsidRPr="004651A9" w:rsidRDefault="002E3C08" w:rsidP="002E3C08">
      <w:pPr>
        <w:spacing w:after="0" w:line="240" w:lineRule="auto"/>
        <w:rPr>
          <w:rFonts w:ascii="Times New Roman" w:eastAsia="Times New Roman" w:hAnsi="Times New Roman" w:cs="Times New Roman"/>
          <w:b/>
          <w:bCs/>
          <w:i/>
          <w:iCs/>
          <w:sz w:val="24"/>
          <w:szCs w:val="24"/>
        </w:rPr>
      </w:pPr>
      <w:r w:rsidRPr="004651A9">
        <w:rPr>
          <w:rFonts w:ascii="Times New Roman" w:eastAsia="Times New Roman" w:hAnsi="Times New Roman" w:cs="Times New Roman"/>
          <w:b/>
          <w:bCs/>
          <w:sz w:val="24"/>
          <w:szCs w:val="24"/>
          <w:bdr w:val="none" w:sz="0" w:space="0" w:color="auto" w:frame="1"/>
        </w:rPr>
        <w:t>CFDA Number: </w:t>
      </w:r>
      <w:r w:rsidRPr="004651A9">
        <w:rPr>
          <w:rFonts w:ascii="Times New Roman" w:eastAsia="Times New Roman" w:hAnsi="Times New Roman" w:cs="Times New Roman"/>
          <w:b/>
          <w:bCs/>
          <w:sz w:val="24"/>
          <w:szCs w:val="24"/>
          <w:bdr w:val="none" w:sz="0" w:space="0" w:color="auto" w:frame="1"/>
        </w:rPr>
        <w:tab/>
      </w:r>
      <w:r w:rsidRPr="004651A9">
        <w:rPr>
          <w:rFonts w:ascii="Times New Roman" w:eastAsia="Times New Roman" w:hAnsi="Times New Roman" w:cs="Times New Roman"/>
          <w:b/>
          <w:bCs/>
          <w:sz w:val="24"/>
          <w:szCs w:val="24"/>
          <w:bdr w:val="none" w:sz="0" w:space="0" w:color="auto" w:frame="1"/>
        </w:rPr>
        <w:tab/>
      </w:r>
      <w:r w:rsidRPr="004651A9">
        <w:rPr>
          <w:rFonts w:ascii="Times New Roman" w:eastAsia="Times New Roman" w:hAnsi="Times New Roman" w:cs="Times New Roman"/>
          <w:b/>
          <w:bCs/>
          <w:sz w:val="24"/>
          <w:szCs w:val="24"/>
          <w:bdr w:val="none" w:sz="0" w:space="0" w:color="auto" w:frame="1"/>
        </w:rPr>
        <w:tab/>
        <w:t>19.033</w:t>
      </w:r>
    </w:p>
    <w:p w14:paraId="2784B12E" w14:textId="77777777" w:rsidR="002E3C08" w:rsidRPr="004651A9" w:rsidRDefault="002E3C08" w:rsidP="002E3C08">
      <w:pPr>
        <w:spacing w:after="0" w:line="240" w:lineRule="auto"/>
        <w:rPr>
          <w:rFonts w:ascii="Times New Roman" w:eastAsia="Times New Roman" w:hAnsi="Times New Roman" w:cs="Times New Roman"/>
          <w:b/>
          <w:bCs/>
          <w:i/>
          <w:iCs/>
          <w:sz w:val="24"/>
          <w:szCs w:val="24"/>
        </w:rPr>
      </w:pPr>
      <w:r w:rsidRPr="004651A9">
        <w:rPr>
          <w:rFonts w:ascii="Times New Roman" w:eastAsia="Times New Roman" w:hAnsi="Times New Roman" w:cs="Times New Roman"/>
          <w:b/>
          <w:bCs/>
          <w:sz w:val="24"/>
          <w:szCs w:val="24"/>
        </w:rPr>
        <w:t xml:space="preserve">Total Amount Available: </w:t>
      </w:r>
      <w:r w:rsidRPr="004651A9">
        <w:rPr>
          <w:rFonts w:ascii="Times New Roman" w:eastAsia="Times New Roman" w:hAnsi="Times New Roman" w:cs="Times New Roman"/>
          <w:b/>
          <w:bCs/>
          <w:sz w:val="24"/>
          <w:szCs w:val="24"/>
        </w:rPr>
        <w:tab/>
      </w:r>
      <w:r w:rsidRPr="004651A9">
        <w:rPr>
          <w:rFonts w:ascii="Times New Roman" w:eastAsia="Times New Roman" w:hAnsi="Times New Roman" w:cs="Times New Roman"/>
          <w:b/>
          <w:bCs/>
          <w:sz w:val="24"/>
          <w:szCs w:val="24"/>
        </w:rPr>
        <w:tab/>
      </w:r>
      <w:r w:rsidRPr="002E3C08">
        <w:rPr>
          <w:rFonts w:ascii="Times New Roman" w:eastAsia="Times New Roman" w:hAnsi="Times New Roman" w:cs="Times New Roman"/>
          <w:b/>
          <w:bCs/>
          <w:sz w:val="24"/>
          <w:szCs w:val="24"/>
        </w:rPr>
        <w:t>$ 4,900,000</w:t>
      </w:r>
    </w:p>
    <w:p w14:paraId="35554EC5" w14:textId="77777777" w:rsidR="004653B3" w:rsidRPr="00D553E9" w:rsidRDefault="004653B3" w:rsidP="6AC85BB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3FE164F7" w14:textId="03FD26AF" w:rsidR="6AC85BB4" w:rsidRDefault="6AC85BB4" w:rsidP="6AC85BB4">
      <w:pPr>
        <w:shd w:val="clear" w:color="auto" w:fill="FFFFFF" w:themeFill="background1"/>
        <w:spacing w:after="0" w:line="240" w:lineRule="auto"/>
        <w:rPr>
          <w:rFonts w:ascii="Times New Roman" w:eastAsia="Times New Roman" w:hAnsi="Times New Roman" w:cs="Times New Roman"/>
          <w:b/>
          <w:bCs/>
          <w:sz w:val="24"/>
          <w:szCs w:val="24"/>
        </w:rPr>
      </w:pPr>
    </w:p>
    <w:p w14:paraId="78D6F17E" w14:textId="33216031" w:rsidR="00B61396" w:rsidRPr="00D553E9" w:rsidRDefault="5C97123E" w:rsidP="6AC85BB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A</w:t>
      </w:r>
      <w:r w:rsidR="1D1CBE97" w:rsidRPr="00D553E9">
        <w:rPr>
          <w:rFonts w:ascii="Times New Roman" w:eastAsia="Times New Roman" w:hAnsi="Times New Roman" w:cs="Times New Roman"/>
          <w:b/>
          <w:bCs/>
          <w:sz w:val="24"/>
          <w:szCs w:val="24"/>
          <w:bdr w:val="none" w:sz="0" w:space="0" w:color="auto" w:frame="1"/>
        </w:rPr>
        <w:t xml:space="preserve">. </w:t>
      </w:r>
      <w:r w:rsidR="5EC89C65" w:rsidRPr="00D553E9">
        <w:rPr>
          <w:rFonts w:ascii="Times New Roman" w:eastAsia="Times New Roman" w:hAnsi="Times New Roman" w:cs="Times New Roman"/>
          <w:b/>
          <w:bCs/>
          <w:sz w:val="24"/>
          <w:szCs w:val="24"/>
          <w:bdr w:val="none" w:sz="0" w:space="0" w:color="auto" w:frame="1"/>
        </w:rPr>
        <w:t>PROGRAM DESCRIPTION</w:t>
      </w:r>
      <w:r w:rsidR="00B61396" w:rsidRPr="00D553E9">
        <w:rPr>
          <w:rFonts w:ascii="Times New Roman" w:eastAsia="Times New Roman" w:hAnsi="Times New Roman" w:cs="Times New Roman"/>
          <w:b/>
          <w:bCs/>
          <w:sz w:val="24"/>
          <w:szCs w:val="24"/>
          <w:bdr w:val="none" w:sz="0" w:space="0" w:color="auto" w:frame="1"/>
        </w:rPr>
        <w:br/>
      </w:r>
      <w:r w:rsidR="5E08B926" w:rsidRPr="6AC85BB4">
        <w:rPr>
          <w:rFonts w:ascii="Times New Roman" w:eastAsia="Times New Roman" w:hAnsi="Times New Roman" w:cs="Times New Roman"/>
          <w:color w:val="000000" w:themeColor="text1"/>
          <w:sz w:val="24"/>
          <w:szCs w:val="24"/>
        </w:rPr>
        <w:t xml:space="preserve">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p>
    <w:p w14:paraId="685B307D" w14:textId="628376C2" w:rsidR="005A19DD" w:rsidRDefault="005A19DD" w:rsidP="005A19DD">
      <w:pPr>
        <w:pStyle w:val="NormalWeb"/>
        <w:rPr>
          <w:color w:val="000000"/>
        </w:rPr>
      </w:pPr>
      <w:r w:rsidRPr="2D8B8CF1">
        <w:rPr>
          <w:color w:val="000000" w:themeColor="text1"/>
        </w:rPr>
        <w:t xml:space="preserve">ISN/CTR builds foreign partner capacity to counter proliferator state’s advanced conventional weapons (ACW) procurement and proliferation networks. The Kremlin’s recent announcement of a partial mobilization along with its need to resupply existing occupying forces in Ukraine is expected to increase Russia’s demand for additional weapon systems and critical defense technologies, either domestically produced or imported from abroad. Russia’s war in Ukraine continues to demonstrate the failures and </w:t>
      </w:r>
      <w:r w:rsidRPr="2D8B8CF1">
        <w:rPr>
          <w:rStyle w:val="null1"/>
        </w:rPr>
        <w:t xml:space="preserve">deficiencies </w:t>
      </w:r>
      <w:r w:rsidRPr="2D8B8CF1">
        <w:rPr>
          <w:color w:val="000000" w:themeColor="text1"/>
        </w:rPr>
        <w:t xml:space="preserve">inherent in Russian ACW to prospective buyers. Russia’s continued war in Ukraine is pushing it closer to regimes such as Iran and PRC for access to international markets, critical supply-chains, and as seen in the case with Iran, weapons systems such as attack drones for use in Ukraine. </w:t>
      </w:r>
    </w:p>
    <w:p w14:paraId="0D600FE4" w14:textId="686FD52E" w:rsidR="005A19DD" w:rsidRDefault="005A19DD" w:rsidP="005A19DD">
      <w:pPr>
        <w:pStyle w:val="NormalWeb"/>
        <w:rPr>
          <w:color w:val="0A0A0A"/>
          <w:shd w:val="clear" w:color="auto" w:fill="FEFEFE"/>
        </w:rPr>
      </w:pPr>
      <w:r>
        <w:rPr>
          <w:color w:val="000000"/>
        </w:rPr>
        <w:t>The PRC uses the development and export of ACW</w:t>
      </w:r>
      <w:r w:rsidRPr="003273CA">
        <w:rPr>
          <w:color w:val="000000"/>
        </w:rPr>
        <w:t xml:space="preserve"> </w:t>
      </w:r>
      <w:r>
        <w:rPr>
          <w:color w:val="000000"/>
        </w:rPr>
        <w:t xml:space="preserve">as </w:t>
      </w:r>
      <w:r w:rsidRPr="00692F76">
        <w:rPr>
          <w:color w:val="000000"/>
        </w:rPr>
        <w:t xml:space="preserve">part of </w:t>
      </w:r>
      <w:r w:rsidRPr="2D8B8CF1">
        <w:rPr>
          <w:color w:val="0A0A0A"/>
          <w:shd w:val="clear" w:color="auto" w:fill="FEFEFE"/>
        </w:rPr>
        <w:t xml:space="preserve">its strategy of self-reliance in the production of high-end technologies that enable its military modernization efforts. Like Russia, the PRC’s export of ACW is used to create strategic dependencies in buyer countries and is seen as a tool of statecraft. The “no limit partnership” between the PRC and Russia also raises concerns of PRC support to Russia to circumvent international sanctions regimes.  Russia’s war in Ukraine also presents PRC with an opportunity to advance its ACW export market share, as Russia is increasingly unable to meet defense orders or attract new ones. </w:t>
      </w:r>
    </w:p>
    <w:p w14:paraId="394E678F" w14:textId="01C87285" w:rsidR="005A19DD" w:rsidRDefault="005A19DD" w:rsidP="005A19DD">
      <w:pPr>
        <w:pStyle w:val="NormalWeb"/>
        <w:rPr>
          <w:color w:val="000000"/>
        </w:rPr>
      </w:pPr>
      <w:r w:rsidRPr="2D8B8CF1">
        <w:rPr>
          <w:color w:val="0A0A0A"/>
          <w:shd w:val="clear" w:color="auto" w:fill="FEFEFE"/>
        </w:rPr>
        <w:t xml:space="preserve">Both the PRC and Russia use private military and security contractor to extend their security, economic, and political influence in vulnerable countries. These entities can be used to pursue state capture, and often operate above the law in countries where they operate.  As seen with the Russian private military contractor Wagner, their owner recently admitted to operating as a </w:t>
      </w:r>
      <w:r w:rsidRPr="2D8B8CF1">
        <w:rPr>
          <w:color w:val="0A0A0A"/>
          <w:shd w:val="clear" w:color="auto" w:fill="FEFEFE"/>
        </w:rPr>
        <w:lastRenderedPageBreak/>
        <w:t xml:space="preserve">proxy of the Russian state. The presence of these forces is often difficult to hold accountable or in certain cases further destabilize conflict zones. </w:t>
      </w:r>
    </w:p>
    <w:p w14:paraId="0FE7A89A" w14:textId="77777777" w:rsidR="005A19DD" w:rsidRPr="00692F76" w:rsidRDefault="005A19DD" w:rsidP="005A19DD">
      <w:pPr>
        <w:pStyle w:val="NormalWeb"/>
        <w:rPr>
          <w:color w:val="000000"/>
        </w:rPr>
      </w:pPr>
      <w:r w:rsidRPr="0069499E">
        <w:rPr>
          <w:b/>
        </w:rPr>
        <w:t>Program Objectives:</w:t>
      </w:r>
      <w:r>
        <w:rPr>
          <w:b/>
        </w:rPr>
        <w:t xml:space="preserve"> </w:t>
      </w:r>
      <w:r>
        <w:rPr>
          <w:color w:val="000000"/>
        </w:rPr>
        <w:t xml:space="preserve">To counter these threats, ISN/CTR’s </w:t>
      </w:r>
      <w:r w:rsidRPr="00692F76">
        <w:rPr>
          <w:color w:val="000000"/>
        </w:rPr>
        <w:t>FY2</w:t>
      </w:r>
      <w:r>
        <w:rPr>
          <w:color w:val="000000"/>
        </w:rPr>
        <w:t>3</w:t>
      </w:r>
      <w:r w:rsidRPr="00692F76">
        <w:rPr>
          <w:color w:val="000000"/>
        </w:rPr>
        <w:t xml:space="preserve"> ACW foreign capacity building efforts will engage financial institutions, </w:t>
      </w:r>
      <w:r>
        <w:rPr>
          <w:color w:val="000000"/>
        </w:rPr>
        <w:t xml:space="preserve">asset managers, </w:t>
      </w:r>
      <w:r w:rsidRPr="00692F76">
        <w:rPr>
          <w:color w:val="000000"/>
        </w:rPr>
        <w:t>business organizations, investigative journalists, logistics providers, and potential</w:t>
      </w:r>
      <w:r>
        <w:rPr>
          <w:color w:val="000000"/>
        </w:rPr>
        <w:t xml:space="preserve"> and traditional</w:t>
      </w:r>
      <w:r w:rsidRPr="00692F76">
        <w:rPr>
          <w:color w:val="000000"/>
        </w:rPr>
        <w:t xml:space="preserve"> customers of </w:t>
      </w:r>
      <w:r>
        <w:rPr>
          <w:color w:val="000000"/>
        </w:rPr>
        <w:t>proliferator state</w:t>
      </w:r>
      <w:r w:rsidRPr="00692F76">
        <w:rPr>
          <w:color w:val="000000"/>
        </w:rPr>
        <w:t xml:space="preserve"> ACW to build partner capacity that enables them to:</w:t>
      </w:r>
    </w:p>
    <w:p w14:paraId="453BD2A5" w14:textId="77777777" w:rsidR="005A19DD" w:rsidRPr="00692F76" w:rsidRDefault="005A19DD" w:rsidP="005A19DD">
      <w:pPr>
        <w:pStyle w:val="NormalWeb"/>
        <w:numPr>
          <w:ilvl w:val="0"/>
          <w:numId w:val="28"/>
        </w:numPr>
        <w:rPr>
          <w:color w:val="000000"/>
        </w:rPr>
      </w:pPr>
      <w:r>
        <w:rPr>
          <w:color w:val="000000"/>
        </w:rPr>
        <w:t xml:space="preserve">Identify ownership networks </w:t>
      </w:r>
      <w:r w:rsidRPr="00692F76">
        <w:rPr>
          <w:color w:val="000000"/>
        </w:rPr>
        <w:t xml:space="preserve">that </w:t>
      </w:r>
      <w:r>
        <w:rPr>
          <w:color w:val="000000"/>
        </w:rPr>
        <w:t xml:space="preserve">facilitate </w:t>
      </w:r>
      <w:r w:rsidRPr="00692F76">
        <w:rPr>
          <w:color w:val="000000"/>
        </w:rPr>
        <w:t xml:space="preserve">designated Russian defense firms </w:t>
      </w:r>
      <w:r>
        <w:rPr>
          <w:color w:val="000000"/>
        </w:rPr>
        <w:t>access to international capital or financial markets;</w:t>
      </w:r>
    </w:p>
    <w:p w14:paraId="230CCE59" w14:textId="77777777" w:rsidR="005A19DD" w:rsidRPr="00692F76" w:rsidRDefault="005A19DD" w:rsidP="005A19DD">
      <w:pPr>
        <w:pStyle w:val="NormalWeb"/>
        <w:numPr>
          <w:ilvl w:val="0"/>
          <w:numId w:val="28"/>
        </w:numPr>
        <w:rPr>
          <w:color w:val="000000"/>
        </w:rPr>
      </w:pPr>
      <w:r>
        <w:rPr>
          <w:color w:val="000000"/>
        </w:rPr>
        <w:t>Identify</w:t>
      </w:r>
      <w:r w:rsidRPr="00692F76">
        <w:rPr>
          <w:color w:val="000000"/>
        </w:rPr>
        <w:t xml:space="preserve"> logistical/transport </w:t>
      </w:r>
      <w:r>
        <w:rPr>
          <w:color w:val="000000"/>
        </w:rPr>
        <w:t>networks</w:t>
      </w:r>
      <w:r w:rsidRPr="00692F76">
        <w:rPr>
          <w:color w:val="000000"/>
        </w:rPr>
        <w:t xml:space="preserve"> that </w:t>
      </w:r>
      <w:r>
        <w:rPr>
          <w:color w:val="000000"/>
        </w:rPr>
        <w:t xml:space="preserve">facilitate </w:t>
      </w:r>
      <w:r w:rsidRPr="00692F76">
        <w:rPr>
          <w:color w:val="000000"/>
        </w:rPr>
        <w:t xml:space="preserve">designated Russian defense firms </w:t>
      </w:r>
      <w:r>
        <w:rPr>
          <w:color w:val="000000"/>
        </w:rPr>
        <w:t>access to international supply-chains;</w:t>
      </w:r>
      <w:r w:rsidRPr="00692F76">
        <w:rPr>
          <w:color w:val="000000"/>
        </w:rPr>
        <w:t xml:space="preserve">  </w:t>
      </w:r>
    </w:p>
    <w:p w14:paraId="3D54EDF8" w14:textId="77777777" w:rsidR="005A19DD" w:rsidRDefault="005A19DD" w:rsidP="005A19DD">
      <w:pPr>
        <w:pStyle w:val="NormalWeb"/>
        <w:numPr>
          <w:ilvl w:val="0"/>
          <w:numId w:val="28"/>
        </w:numPr>
        <w:rPr>
          <w:color w:val="000000"/>
        </w:rPr>
      </w:pPr>
      <w:r>
        <w:rPr>
          <w:color w:val="000000"/>
        </w:rPr>
        <w:t>Produce and disseminate reports the demonstrate the “true costs” of doing business with Russian and PRC defense sectors, including the long-term strategic dependencies these relationships create;</w:t>
      </w:r>
    </w:p>
    <w:p w14:paraId="7E3A216D" w14:textId="77777777" w:rsidR="005A19DD" w:rsidRDefault="005A19DD" w:rsidP="005A19DD">
      <w:pPr>
        <w:pStyle w:val="NormalWeb"/>
        <w:numPr>
          <w:ilvl w:val="0"/>
          <w:numId w:val="28"/>
        </w:numPr>
        <w:rPr>
          <w:color w:val="000000"/>
        </w:rPr>
      </w:pPr>
      <w:r>
        <w:rPr>
          <w:color w:val="000000"/>
        </w:rPr>
        <w:t xml:space="preserve">Identify Russia-PRC-Iran financial, ownership, or procurement networks that facilitate ACW development, resupply, modernization, or export avenues;   </w:t>
      </w:r>
    </w:p>
    <w:p w14:paraId="172146BD" w14:textId="77777777" w:rsidR="005A19DD" w:rsidRDefault="005A19DD" w:rsidP="005A19DD">
      <w:pPr>
        <w:pStyle w:val="NormalWeb"/>
        <w:numPr>
          <w:ilvl w:val="0"/>
          <w:numId w:val="28"/>
        </w:numPr>
        <w:rPr>
          <w:color w:val="000000"/>
        </w:rPr>
      </w:pPr>
      <w:r>
        <w:rPr>
          <w:color w:val="000000"/>
        </w:rPr>
        <w:t>Assist current buyers of Russian and PRC ACW in defense diversification and off-ramp activities through analytical assessments of localization options and alternative suppliers of maintenance and spare parts</w:t>
      </w:r>
    </w:p>
    <w:p w14:paraId="72A3891D" w14:textId="77777777" w:rsidR="005A19DD" w:rsidRPr="00344FA1" w:rsidRDefault="005A19DD" w:rsidP="005A19DD">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06D0102E" w14:textId="77777777" w:rsidR="005A19DD" w:rsidRDefault="005A19DD" w:rsidP="005A19DD">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u w:val="single"/>
          <w:bdr w:val="none" w:sz="0" w:space="0" w:color="auto" w:frame="1"/>
        </w:rPr>
        <w:t>ISN/CTR/SP Areas of Focus Related to ACW:</w:t>
      </w:r>
    </w:p>
    <w:p w14:paraId="770964E3" w14:textId="77777777" w:rsidR="005A19DD" w:rsidRPr="00E05A0C" w:rsidRDefault="005A19DD" w:rsidP="005A19DD">
      <w:pPr>
        <w:shd w:val="clear" w:color="auto" w:fill="FFFFFF"/>
        <w:spacing w:after="0" w:line="240" w:lineRule="auto"/>
        <w:textAlignment w:val="baseline"/>
      </w:pPr>
      <w:r w:rsidRPr="00E05A0C">
        <w:rPr>
          <w:rFonts w:ascii="Times New Roman" w:hAnsi="Times New Roman" w:cs="Times New Roman"/>
          <w:b/>
          <w:sz w:val="24"/>
          <w:szCs w:val="24"/>
        </w:rPr>
        <w:t>Financial Chilling Action Plan</w:t>
      </w:r>
      <w:r w:rsidRPr="00E05A0C">
        <w:rPr>
          <w:rFonts w:ascii="Times New Roman" w:hAnsi="Times New Roman" w:cs="Times New Roman"/>
          <w:sz w:val="24"/>
          <w:szCs w:val="24"/>
        </w:rPr>
        <w:t xml:space="preserve">: Programming in this area will focus on reducing Russian and </w:t>
      </w:r>
      <w:r>
        <w:rPr>
          <w:rFonts w:ascii="Times New Roman" w:hAnsi="Times New Roman" w:cs="Times New Roman"/>
          <w:sz w:val="24"/>
          <w:szCs w:val="24"/>
        </w:rPr>
        <w:t>PRC</w:t>
      </w:r>
      <w:r w:rsidRPr="00E05A0C">
        <w:rPr>
          <w:rFonts w:ascii="Times New Roman" w:hAnsi="Times New Roman" w:cs="Times New Roman"/>
          <w:sz w:val="24"/>
          <w:szCs w:val="24"/>
        </w:rPr>
        <w:t xml:space="preserve"> defense firms’ access to financial, technological, and capital markets. ISN/CTR’s FY23 will look to:</w:t>
      </w:r>
    </w:p>
    <w:p w14:paraId="3E7050CD" w14:textId="77777777" w:rsidR="005A19DD" w:rsidRDefault="005A19DD" w:rsidP="005A19DD">
      <w:pPr>
        <w:pStyle w:val="NormalWeb"/>
        <w:numPr>
          <w:ilvl w:val="0"/>
          <w:numId w:val="31"/>
        </w:numPr>
        <w:rPr>
          <w:color w:val="000000"/>
        </w:rPr>
      </w:pPr>
      <w:r>
        <w:rPr>
          <w:color w:val="000000"/>
        </w:rPr>
        <w:t xml:space="preserve">Strengthen public-private partnerships among financial institutions and regulatory and enforcement bodies to </w:t>
      </w:r>
      <w:r w:rsidRPr="00692F76">
        <w:rPr>
          <w:color w:val="000000"/>
        </w:rPr>
        <w:t>induce a chilling effec</w:t>
      </w:r>
      <w:r>
        <w:rPr>
          <w:color w:val="000000"/>
        </w:rPr>
        <w:t>t on the Russian defense sector’s ability to access technologies or capital for use in ACW production, modernization, and export.</w:t>
      </w:r>
    </w:p>
    <w:p w14:paraId="75D89785" w14:textId="77777777" w:rsidR="005A19DD" w:rsidRDefault="005A19DD" w:rsidP="005A19DD">
      <w:pPr>
        <w:pStyle w:val="NormalWeb"/>
        <w:numPr>
          <w:ilvl w:val="0"/>
          <w:numId w:val="31"/>
        </w:numPr>
        <w:rPr>
          <w:color w:val="000000"/>
        </w:rPr>
      </w:pPr>
      <w:r>
        <w:rPr>
          <w:color w:val="000000"/>
        </w:rPr>
        <w:t>E</w:t>
      </w:r>
      <w:r w:rsidRPr="00692F76">
        <w:rPr>
          <w:color w:val="000000"/>
        </w:rPr>
        <w:t xml:space="preserve">ngage financial institutions, chambers of commerce, investigative journalists, financial auditors, and logistics providers to induce a chilling effect on the </w:t>
      </w:r>
      <w:r>
        <w:rPr>
          <w:color w:val="000000"/>
        </w:rPr>
        <w:t>PRC</w:t>
      </w:r>
      <w:r w:rsidRPr="00692F76">
        <w:rPr>
          <w:color w:val="000000"/>
        </w:rPr>
        <w:t xml:space="preserve"> defense sector by sensitizing these organizations to the risks of doing business with </w:t>
      </w:r>
      <w:r>
        <w:rPr>
          <w:color w:val="000000"/>
        </w:rPr>
        <w:t xml:space="preserve">high-risk PRC entities, and their subsidiaries, listed under the </w:t>
      </w:r>
      <w:r w:rsidRPr="009E4CE1">
        <w:rPr>
          <w:color w:val="000000"/>
          <w:shd w:val="clear" w:color="auto" w:fill="FFFFFF"/>
        </w:rPr>
        <w:t xml:space="preserve">Non-SDN </w:t>
      </w:r>
      <w:r>
        <w:rPr>
          <w:color w:val="000000"/>
          <w:shd w:val="clear" w:color="auto" w:fill="FFFFFF"/>
        </w:rPr>
        <w:t>PRC</w:t>
      </w:r>
      <w:r w:rsidRPr="009E4CE1">
        <w:rPr>
          <w:color w:val="000000"/>
          <w:shd w:val="clear" w:color="auto" w:fill="FFFFFF"/>
        </w:rPr>
        <w:t xml:space="preserve"> Military-Industrial Complex Companies</w:t>
      </w:r>
      <w:r>
        <w:rPr>
          <w:color w:val="000000"/>
          <w:shd w:val="clear" w:color="auto" w:fill="FFFFFF"/>
        </w:rPr>
        <w:t>,</w:t>
      </w:r>
      <w:r w:rsidRPr="009E4CE1">
        <w:t xml:space="preserve"> BIS Entity List</w:t>
      </w:r>
      <w:r>
        <w:t xml:space="preserve"> and Military End-User list,</w:t>
      </w:r>
      <w:r w:rsidRPr="009E4CE1">
        <w:t xml:space="preserve"> and</w:t>
      </w:r>
      <w:r>
        <w:t xml:space="preserve"> relevant OFAC designations.</w:t>
      </w:r>
    </w:p>
    <w:p w14:paraId="1139BB5C" w14:textId="77777777" w:rsidR="005A19DD" w:rsidRPr="00CC4105" w:rsidRDefault="005A19DD" w:rsidP="005A19DD">
      <w:pPr>
        <w:pStyle w:val="NormalWeb"/>
        <w:numPr>
          <w:ilvl w:val="0"/>
          <w:numId w:val="31"/>
        </w:numPr>
        <w:rPr>
          <w:color w:val="000000"/>
        </w:rPr>
      </w:pPr>
      <w:r>
        <w:rPr>
          <w:color w:val="000000" w:themeColor="text1"/>
          <w:shd w:val="clear" w:color="auto" w:fill="FFFFFF"/>
        </w:rPr>
        <w:t>Develop financial compliance train-the-trainer and mentorship programs that strengthen financial investigations and forensic accounting methods of compliance officers in identifying high-risk ACW transactions.</w:t>
      </w:r>
    </w:p>
    <w:p w14:paraId="6ED57D94" w14:textId="77777777" w:rsidR="005A19DD" w:rsidRPr="00CC4105" w:rsidRDefault="005A19DD" w:rsidP="005A19DD">
      <w:pPr>
        <w:pStyle w:val="NormalWeb"/>
        <w:numPr>
          <w:ilvl w:val="0"/>
          <w:numId w:val="31"/>
        </w:numPr>
        <w:rPr>
          <w:color w:val="000000"/>
        </w:rPr>
      </w:pPr>
      <w:r w:rsidRPr="00CC4105">
        <w:rPr>
          <w:color w:val="0A0A0A"/>
          <w:shd w:val="clear" w:color="auto" w:fill="FEFEFE"/>
        </w:rPr>
        <w:t xml:space="preserve">Develop </w:t>
      </w:r>
      <w:r>
        <w:t>and disseminate an offshore risk actor and monitoring priority (OFFRAMP) list of</w:t>
      </w:r>
      <w:r w:rsidRPr="00CC4105">
        <w:rPr>
          <w:color w:val="0A0A0A"/>
          <w:shd w:val="clear" w:color="auto" w:fill="FEFEFE"/>
        </w:rPr>
        <w:t xml:space="preserve"> high-risk “corporate directors”, “secretarial services”, and “management companies” that have links to </w:t>
      </w:r>
      <w:r>
        <w:rPr>
          <w:color w:val="0A0A0A"/>
          <w:shd w:val="clear" w:color="auto" w:fill="FEFEFE"/>
        </w:rPr>
        <w:t>high-risk</w:t>
      </w:r>
      <w:r w:rsidRPr="00CC4105">
        <w:rPr>
          <w:color w:val="0A0A0A"/>
          <w:shd w:val="clear" w:color="auto" w:fill="FEFEFE"/>
        </w:rPr>
        <w:t xml:space="preserve"> Russia defense entities or corrupt officials. </w:t>
      </w:r>
    </w:p>
    <w:p w14:paraId="0F3F89B5" w14:textId="77777777" w:rsidR="005A19DD" w:rsidRDefault="005A19DD" w:rsidP="005A19DD">
      <w:pPr>
        <w:pStyle w:val="ListParagraph"/>
        <w:numPr>
          <w:ilvl w:val="0"/>
          <w:numId w:val="31"/>
        </w:numPr>
        <w:spacing w:after="0" w:line="259" w:lineRule="auto"/>
        <w:rPr>
          <w:rFonts w:ascii="Times New Roman" w:hAnsi="Times New Roman" w:cs="Times New Roman"/>
          <w:color w:val="0A0A0A"/>
          <w:sz w:val="24"/>
          <w:szCs w:val="24"/>
          <w:shd w:val="clear" w:color="auto" w:fill="FEFEFE"/>
        </w:rPr>
      </w:pPr>
      <w:r>
        <w:rPr>
          <w:rFonts w:ascii="Times New Roman" w:hAnsi="Times New Roman" w:cs="Times New Roman"/>
          <w:color w:val="0A0A0A"/>
          <w:sz w:val="24"/>
          <w:szCs w:val="24"/>
          <w:shd w:val="clear" w:color="auto" w:fill="FEFEFE"/>
        </w:rPr>
        <w:t>Engaging financial institutions and advanced technology suppliers on the growing financial and supply-chain</w:t>
      </w:r>
      <w:r w:rsidRPr="00BF7DA2">
        <w:rPr>
          <w:rFonts w:ascii="Times New Roman" w:hAnsi="Times New Roman" w:cs="Times New Roman"/>
          <w:color w:val="0A0A0A"/>
          <w:sz w:val="24"/>
          <w:szCs w:val="24"/>
          <w:shd w:val="clear" w:color="auto" w:fill="FEFEFE"/>
        </w:rPr>
        <w:t xml:space="preserve"> </w:t>
      </w:r>
      <w:r>
        <w:rPr>
          <w:rFonts w:ascii="Times New Roman" w:hAnsi="Times New Roman" w:cs="Times New Roman"/>
          <w:color w:val="0A0A0A"/>
          <w:sz w:val="24"/>
          <w:szCs w:val="24"/>
          <w:shd w:val="clear" w:color="auto" w:fill="FEFEFE"/>
        </w:rPr>
        <w:t>integration</w:t>
      </w:r>
      <w:r w:rsidRPr="00BF7DA2">
        <w:rPr>
          <w:rFonts w:ascii="Times New Roman" w:hAnsi="Times New Roman" w:cs="Times New Roman"/>
          <w:color w:val="0A0A0A"/>
          <w:sz w:val="24"/>
          <w:szCs w:val="24"/>
          <w:shd w:val="clear" w:color="auto" w:fill="FEFEFE"/>
        </w:rPr>
        <w:t xml:space="preserve"> </w:t>
      </w:r>
      <w:r>
        <w:rPr>
          <w:rFonts w:ascii="Times New Roman" w:hAnsi="Times New Roman" w:cs="Times New Roman"/>
          <w:color w:val="0A0A0A"/>
          <w:sz w:val="24"/>
          <w:szCs w:val="24"/>
          <w:shd w:val="clear" w:color="auto" w:fill="FEFEFE"/>
        </w:rPr>
        <w:t xml:space="preserve">between Russia and PRC and the role that PRC may play in facilitating transactions in support of the Russian defense sector. </w:t>
      </w:r>
    </w:p>
    <w:p w14:paraId="1392B0CF" w14:textId="77777777" w:rsidR="005A19DD" w:rsidRDefault="005A19DD" w:rsidP="005A19DD">
      <w:pPr>
        <w:pStyle w:val="NormalWeb"/>
        <w:numPr>
          <w:ilvl w:val="0"/>
          <w:numId w:val="31"/>
        </w:numPr>
        <w:rPr>
          <w:color w:val="000000"/>
        </w:rPr>
      </w:pPr>
      <w:r>
        <w:rPr>
          <w:color w:val="000000"/>
        </w:rPr>
        <w:lastRenderedPageBreak/>
        <w:t>Engage financial institutions and chambers of commerce on the networks high-risk Russian and PRC defense firms use to engage in</w:t>
      </w:r>
      <w:r w:rsidRPr="002C14A8">
        <w:rPr>
          <w:color w:val="000000"/>
        </w:rPr>
        <w:t xml:space="preserve"> joint ve</w:t>
      </w:r>
      <w:r>
        <w:rPr>
          <w:color w:val="000000"/>
        </w:rPr>
        <w:t xml:space="preserve">ntures or mergers or acquisitions and the sanctions and reputational risks these relationships carry. </w:t>
      </w:r>
    </w:p>
    <w:p w14:paraId="7D95B6AF" w14:textId="77777777" w:rsidR="005A19DD" w:rsidRDefault="005A19DD" w:rsidP="005A19DD">
      <w:pPr>
        <w:pStyle w:val="NormalWeb"/>
        <w:numPr>
          <w:ilvl w:val="0"/>
          <w:numId w:val="31"/>
        </w:numPr>
        <w:rPr>
          <w:color w:val="000000"/>
        </w:rPr>
      </w:pPr>
      <w:r w:rsidRPr="2D8B8CF1">
        <w:rPr>
          <w:color w:val="000000" w:themeColor="text1"/>
        </w:rPr>
        <w:t>Track and share transactional connections of sanctioned cryptocurrency exchanges and wallet addresses and how these may be used to enable high-risk Russian defense firms and corruption networks to circumvent sanctions.</w:t>
      </w:r>
    </w:p>
    <w:p w14:paraId="738E4E55" w14:textId="77777777" w:rsidR="005A19DD" w:rsidRDefault="005A19DD" w:rsidP="005A19DD">
      <w:pPr>
        <w:pStyle w:val="NormalWeb"/>
        <w:rPr>
          <w:color w:val="000000" w:themeColor="text1"/>
        </w:rPr>
      </w:pPr>
    </w:p>
    <w:p w14:paraId="35600F56" w14:textId="77777777" w:rsidR="005A19DD" w:rsidRPr="00F6023E" w:rsidRDefault="005A19DD" w:rsidP="005A19DD">
      <w:pPr>
        <w:rPr>
          <w:rFonts w:ascii="Times New Roman" w:hAnsi="Times New Roman" w:cs="Times New Roman"/>
          <w:sz w:val="24"/>
          <w:szCs w:val="24"/>
        </w:rPr>
      </w:pPr>
      <w:r w:rsidRPr="00F6023E">
        <w:rPr>
          <w:rFonts w:ascii="Times New Roman" w:hAnsi="Times New Roman" w:cs="Times New Roman"/>
          <w:b/>
          <w:bCs/>
          <w:color w:val="000000"/>
          <w:sz w:val="24"/>
          <w:szCs w:val="24"/>
        </w:rPr>
        <w:t>Engagement countries:</w:t>
      </w:r>
      <w:r w:rsidRPr="00F6023E">
        <w:rPr>
          <w:rFonts w:ascii="Times New Roman" w:hAnsi="Times New Roman" w:cs="Times New Roman"/>
          <w:color w:val="000000"/>
          <w:sz w:val="24"/>
          <w:szCs w:val="24"/>
        </w:rPr>
        <w:t xml:space="preserve"> </w:t>
      </w:r>
      <w:r w:rsidRPr="00F6023E">
        <w:rPr>
          <w:rFonts w:ascii="Times New Roman" w:hAnsi="Times New Roman" w:cs="Times New Roman"/>
          <w:color w:val="222222"/>
          <w:sz w:val="24"/>
          <w:szCs w:val="24"/>
          <w:shd w:val="clear" w:color="auto" w:fill="FFFFFF"/>
        </w:rPr>
        <w:t xml:space="preserve">Armenia, Azerbaijan, Bangladesh, Bosnia-Herzegovina, Brazil, Bulgaria, Cyprus, Czechia, Estonia, Finland, Greece, Georgia, Hungary, India, Indonesia, Jordan, Kenya, Latvia, Lebanon, Lithuania, Malaysia, Moldova, Malta, Nicaragua, Panama, Pakistan, Peru, Philippines, Poland, Romania, Singapore, Serbia, South Africa, Taiwan, </w:t>
      </w:r>
      <w:r w:rsidRPr="00F6023E">
        <w:rPr>
          <w:rFonts w:ascii="Times New Roman" w:hAnsi="Times New Roman" w:cs="Times New Roman"/>
          <w:sz w:val="24"/>
          <w:szCs w:val="24"/>
        </w:rPr>
        <w:t>Tanzania</w:t>
      </w:r>
      <w:r w:rsidRPr="00F6023E">
        <w:rPr>
          <w:rFonts w:ascii="Times New Roman" w:hAnsi="Times New Roman" w:cs="Times New Roman"/>
          <w:color w:val="222222"/>
          <w:sz w:val="24"/>
          <w:szCs w:val="24"/>
          <w:shd w:val="clear" w:color="auto" w:fill="FFFFFF"/>
        </w:rPr>
        <w:t>, Thailand, Sri Lanka, Turkey, UAE, Ukraine, and Vietnam.</w:t>
      </w:r>
    </w:p>
    <w:p w14:paraId="413924D8" w14:textId="77777777" w:rsidR="005A19DD" w:rsidRDefault="005A19DD" w:rsidP="005A19DD">
      <w:pPr>
        <w:pStyle w:val="NormalWeb"/>
        <w:rPr>
          <w:b/>
          <w:color w:val="000000"/>
        </w:rPr>
      </w:pPr>
    </w:p>
    <w:p w14:paraId="48473AB3" w14:textId="77777777" w:rsidR="005A19DD" w:rsidRDefault="005A19DD" w:rsidP="005A19DD">
      <w:pPr>
        <w:pStyle w:val="NormalWeb"/>
        <w:rPr>
          <w:color w:val="000000"/>
        </w:rPr>
      </w:pPr>
      <w:r w:rsidRPr="2D8B8CF1">
        <w:rPr>
          <w:b/>
          <w:bCs/>
          <w:color w:val="000000" w:themeColor="text1"/>
        </w:rPr>
        <w:t xml:space="preserve">Logistics Hardening: </w:t>
      </w:r>
      <w:r w:rsidRPr="2D8B8CF1">
        <w:rPr>
          <w:color w:val="000000" w:themeColor="text1"/>
        </w:rPr>
        <w:t>Commercially available trade data has highlighted the role of logistics brokers and associated firms who facilitate the export of ACW for high-risk Russian and PRC defense firms. Engaging on these transactions that are occurring outside of proliferator regimes, is a key area to which ISN/CTR can have an impact. Previous projects have focused on working with logistics brokers as well as government trade authorities and law enforcement on identifying high-risk shipments and the diversion pathways used by high-risk Russian and PRC defense entities and their subsidiaries.  In this area, ISN/CTR’s FY23 foreign capacity building efforts will:</w:t>
      </w:r>
    </w:p>
    <w:p w14:paraId="6FA3C2C3" w14:textId="77777777" w:rsidR="005A19DD" w:rsidRDefault="005A19DD" w:rsidP="005A19DD">
      <w:pPr>
        <w:pStyle w:val="NormalWeb"/>
        <w:numPr>
          <w:ilvl w:val="0"/>
          <w:numId w:val="30"/>
        </w:numPr>
        <w:rPr>
          <w:color w:val="000000"/>
        </w:rPr>
      </w:pPr>
      <w:r>
        <w:rPr>
          <w:color w:val="000000"/>
        </w:rPr>
        <w:t>E</w:t>
      </w:r>
      <w:r w:rsidRPr="00692F76">
        <w:rPr>
          <w:color w:val="000000"/>
        </w:rPr>
        <w:t xml:space="preserve">ngage financial institutions, logistics providers, and private industries on the activities of </w:t>
      </w:r>
      <w:r>
        <w:rPr>
          <w:color w:val="000000"/>
        </w:rPr>
        <w:t>high-risk</w:t>
      </w:r>
      <w:r w:rsidRPr="00692F76">
        <w:rPr>
          <w:color w:val="000000"/>
        </w:rPr>
        <w:t xml:space="preserve"> Russian </w:t>
      </w:r>
      <w:r>
        <w:rPr>
          <w:color w:val="000000"/>
        </w:rPr>
        <w:t xml:space="preserve">and PRC </w:t>
      </w:r>
      <w:r w:rsidRPr="00692F76">
        <w:rPr>
          <w:color w:val="000000"/>
        </w:rPr>
        <w:t xml:space="preserve">defense firms in international supply-chains and the risks associated with doing business with them.  </w:t>
      </w:r>
    </w:p>
    <w:p w14:paraId="78739598" w14:textId="77777777" w:rsidR="005A19DD" w:rsidRDefault="005A19DD" w:rsidP="005A19DD">
      <w:pPr>
        <w:pStyle w:val="NormalWeb"/>
        <w:numPr>
          <w:ilvl w:val="0"/>
          <w:numId w:val="30"/>
        </w:numPr>
        <w:rPr>
          <w:color w:val="000000"/>
        </w:rPr>
      </w:pPr>
      <w:r>
        <w:rPr>
          <w:color w:val="000000"/>
        </w:rPr>
        <w:t>Engage</w:t>
      </w:r>
      <w:r w:rsidRPr="00692F76">
        <w:rPr>
          <w:color w:val="000000"/>
        </w:rPr>
        <w:t xml:space="preserve"> financial and logistics providers of the sanctions </w:t>
      </w:r>
      <w:r>
        <w:rPr>
          <w:color w:val="000000"/>
        </w:rPr>
        <w:t xml:space="preserve">and reputational </w:t>
      </w:r>
      <w:r w:rsidRPr="00692F76">
        <w:rPr>
          <w:color w:val="000000"/>
        </w:rPr>
        <w:t xml:space="preserve">risks of engaging with brokers that provide material support to </w:t>
      </w:r>
      <w:r>
        <w:rPr>
          <w:color w:val="000000"/>
        </w:rPr>
        <w:t>high-risk</w:t>
      </w:r>
      <w:r w:rsidRPr="00692F76">
        <w:rPr>
          <w:color w:val="000000"/>
        </w:rPr>
        <w:t xml:space="preserve"> Russian </w:t>
      </w:r>
      <w:r>
        <w:rPr>
          <w:color w:val="000000"/>
        </w:rPr>
        <w:t>and PRC defense entities.</w:t>
      </w:r>
    </w:p>
    <w:p w14:paraId="053ED1A6" w14:textId="77777777" w:rsidR="005A19DD" w:rsidRDefault="005A19DD" w:rsidP="005A19DD">
      <w:pPr>
        <w:pStyle w:val="NormalWeb"/>
        <w:numPr>
          <w:ilvl w:val="0"/>
          <w:numId w:val="30"/>
        </w:numPr>
        <w:rPr>
          <w:color w:val="000000"/>
        </w:rPr>
      </w:pPr>
      <w:r>
        <w:rPr>
          <w:color w:val="000000"/>
        </w:rPr>
        <w:t>Engage government regulators and financial institutions on Russian shell company creation post-February 24 that enable illicit procurement activities.</w:t>
      </w:r>
    </w:p>
    <w:p w14:paraId="55FD704C" w14:textId="77777777" w:rsidR="005A19DD" w:rsidRDefault="005A19DD" w:rsidP="005A19DD">
      <w:pPr>
        <w:pStyle w:val="NormalWeb"/>
        <w:numPr>
          <w:ilvl w:val="0"/>
          <w:numId w:val="30"/>
        </w:numPr>
        <w:rPr>
          <w:color w:val="000000"/>
        </w:rPr>
      </w:pPr>
      <w:r>
        <w:rPr>
          <w:color w:val="000000"/>
        </w:rPr>
        <w:t>Engage private sector stakeholders and government authorities to prevent Russian and Iranian procurement and transport networks being used to acquire ACW from Iran.</w:t>
      </w:r>
    </w:p>
    <w:p w14:paraId="76C9E6C7" w14:textId="77777777" w:rsidR="005A19DD" w:rsidRDefault="005A19DD" w:rsidP="005A19DD">
      <w:pPr>
        <w:pStyle w:val="NormalWeb"/>
        <w:numPr>
          <w:ilvl w:val="0"/>
          <w:numId w:val="30"/>
        </w:numPr>
        <w:rPr>
          <w:color w:val="000000"/>
        </w:rPr>
      </w:pPr>
      <w:r>
        <w:rPr>
          <w:color w:val="000000"/>
        </w:rPr>
        <w:t xml:space="preserve">Raise awareness on PRC-Russia defense joint-ventures, defense trade, and defense development networks with </w:t>
      </w:r>
      <w:r w:rsidRPr="002C14A8">
        <w:rPr>
          <w:color w:val="000000"/>
        </w:rPr>
        <w:t xml:space="preserve">commercial suppliers of high-tech </w:t>
      </w:r>
      <w:r>
        <w:rPr>
          <w:color w:val="000000"/>
        </w:rPr>
        <w:t xml:space="preserve">defense inputs and the sanctions and reputational risks this presents. </w:t>
      </w:r>
    </w:p>
    <w:p w14:paraId="3AA751F6" w14:textId="77777777" w:rsidR="005A19DD" w:rsidRPr="00705831" w:rsidRDefault="005A19DD" w:rsidP="005A19DD">
      <w:pPr>
        <w:pStyle w:val="NormalWeb"/>
        <w:numPr>
          <w:ilvl w:val="0"/>
          <w:numId w:val="30"/>
        </w:numPr>
        <w:rPr>
          <w:color w:val="000000"/>
        </w:rPr>
      </w:pPr>
      <w:r>
        <w:t xml:space="preserve">Strengthen supply-chain due diligence practices through trainings to private and public sector partners to identify and prevent the transfer of sensitive military technologies and equipment to the Russian defense sector and associated entities. </w:t>
      </w:r>
      <w:r>
        <w:br/>
      </w:r>
    </w:p>
    <w:p w14:paraId="400012F9" w14:textId="77777777" w:rsidR="005A19DD" w:rsidRDefault="005A19DD" w:rsidP="005A19DD">
      <w:pPr>
        <w:pStyle w:val="NormalWeb"/>
        <w:ind w:left="720"/>
        <w:rPr>
          <w:color w:val="222222"/>
          <w:shd w:val="clear" w:color="auto" w:fill="FFFFFF"/>
        </w:rPr>
      </w:pPr>
      <w:r w:rsidRPr="002C14A8">
        <w:rPr>
          <w:b/>
          <w:bCs/>
          <w:color w:val="000000"/>
        </w:rPr>
        <w:lastRenderedPageBreak/>
        <w:t>Engagement countries:</w:t>
      </w:r>
      <w:r w:rsidRPr="002C14A8">
        <w:rPr>
          <w:color w:val="000000"/>
        </w:rPr>
        <w:t xml:space="preserve"> </w:t>
      </w:r>
      <w:r>
        <w:rPr>
          <w:color w:val="000000"/>
        </w:rPr>
        <w:t xml:space="preserve">EUR: </w:t>
      </w:r>
      <w:r>
        <w:rPr>
          <w:color w:val="222222"/>
          <w:shd w:val="clear" w:color="auto" w:fill="FFFFFF"/>
        </w:rPr>
        <w:t>Azerbaijan, Armenia, Bulgaria,</w:t>
      </w:r>
      <w:r w:rsidRPr="002C14A8">
        <w:rPr>
          <w:color w:val="222222"/>
          <w:shd w:val="clear" w:color="auto" w:fill="FFFFFF"/>
        </w:rPr>
        <w:t xml:space="preserve"> </w:t>
      </w:r>
      <w:r>
        <w:rPr>
          <w:color w:val="222222"/>
          <w:shd w:val="clear" w:color="auto" w:fill="FFFFFF"/>
        </w:rPr>
        <w:t>Cyprus, Czechia,</w:t>
      </w:r>
      <w:r w:rsidRPr="002C14A8">
        <w:rPr>
          <w:color w:val="222222"/>
          <w:shd w:val="clear" w:color="auto" w:fill="FFFFFF"/>
        </w:rPr>
        <w:t xml:space="preserve"> Estonia, </w:t>
      </w:r>
      <w:r>
        <w:rPr>
          <w:color w:val="222222"/>
          <w:shd w:val="clear" w:color="auto" w:fill="FFFFFF"/>
        </w:rPr>
        <w:t>Finland,</w:t>
      </w:r>
      <w:r w:rsidRPr="002C14A8">
        <w:rPr>
          <w:color w:val="222222"/>
          <w:shd w:val="clear" w:color="auto" w:fill="FFFFFF"/>
        </w:rPr>
        <w:t xml:space="preserve"> </w:t>
      </w:r>
      <w:r>
        <w:rPr>
          <w:color w:val="222222"/>
          <w:shd w:val="clear" w:color="auto" w:fill="FFFFFF"/>
        </w:rPr>
        <w:t>Georgia, Hungary,</w:t>
      </w:r>
      <w:r w:rsidRPr="002C14A8">
        <w:rPr>
          <w:color w:val="222222"/>
          <w:shd w:val="clear" w:color="auto" w:fill="FFFFFF"/>
        </w:rPr>
        <w:t xml:space="preserve"> Latvi</w:t>
      </w:r>
      <w:r>
        <w:rPr>
          <w:color w:val="222222"/>
          <w:shd w:val="clear" w:color="auto" w:fill="FFFFFF"/>
        </w:rPr>
        <w:t xml:space="preserve">a, Lithuania, Malta, </w:t>
      </w:r>
      <w:r w:rsidRPr="002C14A8">
        <w:rPr>
          <w:color w:val="222222"/>
          <w:shd w:val="clear" w:color="auto" w:fill="FFFFFF"/>
        </w:rPr>
        <w:t>Moldov</w:t>
      </w:r>
      <w:r>
        <w:rPr>
          <w:color w:val="222222"/>
          <w:shd w:val="clear" w:color="auto" w:fill="FFFFFF"/>
        </w:rPr>
        <w:t xml:space="preserve">a, Poland, Greece, </w:t>
      </w:r>
      <w:r w:rsidRPr="002C14A8">
        <w:rPr>
          <w:color w:val="222222"/>
          <w:shd w:val="clear" w:color="auto" w:fill="FFFFFF"/>
        </w:rPr>
        <w:t>Serbia, Ukraine,</w:t>
      </w:r>
      <w:r>
        <w:rPr>
          <w:color w:val="222222"/>
          <w:shd w:val="clear" w:color="auto" w:fill="FFFFFF"/>
        </w:rPr>
        <w:t xml:space="preserve"> Turkey, NEA:</w:t>
      </w:r>
      <w:r w:rsidRPr="002C14A8">
        <w:rPr>
          <w:color w:val="222222"/>
          <w:shd w:val="clear" w:color="auto" w:fill="FFFFFF"/>
        </w:rPr>
        <w:t xml:space="preserve"> </w:t>
      </w:r>
      <w:r>
        <w:rPr>
          <w:color w:val="222222"/>
          <w:shd w:val="clear" w:color="auto" w:fill="FFFFFF"/>
        </w:rPr>
        <w:t xml:space="preserve">UAE, WHA: </w:t>
      </w:r>
      <w:r w:rsidRPr="002C14A8">
        <w:rPr>
          <w:color w:val="222222"/>
          <w:shd w:val="clear" w:color="auto" w:fill="FFFFFF"/>
        </w:rPr>
        <w:t xml:space="preserve">Panama, </w:t>
      </w:r>
      <w:r>
        <w:rPr>
          <w:color w:val="222222"/>
          <w:shd w:val="clear" w:color="auto" w:fill="FFFFFF"/>
        </w:rPr>
        <w:t>EAP:</w:t>
      </w:r>
      <w:r w:rsidRPr="002C14A8">
        <w:rPr>
          <w:color w:val="222222"/>
          <w:shd w:val="clear" w:color="auto" w:fill="FFFFFF"/>
        </w:rPr>
        <w:t xml:space="preserve"> Indonesia, Malaysia, Philippines</w:t>
      </w:r>
      <w:r>
        <w:rPr>
          <w:color w:val="222222"/>
          <w:shd w:val="clear" w:color="auto" w:fill="FFFFFF"/>
        </w:rPr>
        <w:t>,</w:t>
      </w:r>
      <w:r w:rsidRPr="00261701">
        <w:rPr>
          <w:color w:val="222222"/>
          <w:shd w:val="clear" w:color="auto" w:fill="FFFFFF"/>
        </w:rPr>
        <w:t xml:space="preserve"> </w:t>
      </w:r>
      <w:r w:rsidRPr="002C14A8">
        <w:rPr>
          <w:color w:val="222222"/>
          <w:shd w:val="clear" w:color="auto" w:fill="FFFFFF"/>
        </w:rPr>
        <w:t>Singapore, Vietnam</w:t>
      </w:r>
      <w:r>
        <w:rPr>
          <w:color w:val="222222"/>
          <w:shd w:val="clear" w:color="auto" w:fill="FFFFFF"/>
        </w:rPr>
        <w:t>, Taiwan,</w:t>
      </w:r>
      <w:r w:rsidRPr="00261701">
        <w:rPr>
          <w:color w:val="222222"/>
          <w:shd w:val="clear" w:color="auto" w:fill="FFFFFF"/>
        </w:rPr>
        <w:t xml:space="preserve"> </w:t>
      </w:r>
      <w:r w:rsidRPr="002C14A8">
        <w:rPr>
          <w:color w:val="222222"/>
          <w:shd w:val="clear" w:color="auto" w:fill="FFFFFF"/>
        </w:rPr>
        <w:t xml:space="preserve">Thailand, </w:t>
      </w:r>
      <w:r>
        <w:rPr>
          <w:color w:val="222222"/>
          <w:shd w:val="clear" w:color="auto" w:fill="FFFFFF"/>
        </w:rPr>
        <w:t xml:space="preserve">SCA: </w:t>
      </w:r>
      <w:r w:rsidRPr="002C14A8">
        <w:rPr>
          <w:color w:val="222222"/>
          <w:shd w:val="clear" w:color="auto" w:fill="FFFFFF"/>
        </w:rPr>
        <w:t xml:space="preserve">India, Pakistan, </w:t>
      </w:r>
      <w:r>
        <w:rPr>
          <w:color w:val="222222"/>
          <w:shd w:val="clear" w:color="auto" w:fill="FFFFFF"/>
        </w:rPr>
        <w:t xml:space="preserve">AF: </w:t>
      </w:r>
      <w:r w:rsidRPr="002C14A8">
        <w:rPr>
          <w:color w:val="222222"/>
          <w:shd w:val="clear" w:color="auto" w:fill="FFFFFF"/>
        </w:rPr>
        <w:t>South Africa</w:t>
      </w:r>
      <w:r>
        <w:rPr>
          <w:color w:val="222222"/>
          <w:shd w:val="clear" w:color="auto" w:fill="FFFFFF"/>
        </w:rPr>
        <w:t xml:space="preserve">. </w:t>
      </w:r>
      <w:r>
        <w:br/>
      </w:r>
    </w:p>
    <w:p w14:paraId="5DE4B4AB" w14:textId="77777777" w:rsidR="005A19DD" w:rsidRDefault="005A19DD" w:rsidP="005A19DD">
      <w:pPr>
        <w:pStyle w:val="NormalWeb"/>
        <w:rPr>
          <w:color w:val="000000"/>
        </w:rPr>
      </w:pPr>
      <w:r w:rsidRPr="2D8B8CF1">
        <w:rPr>
          <w:b/>
          <w:bCs/>
          <w:color w:val="000000" w:themeColor="text1"/>
        </w:rPr>
        <w:t>Messaging Campaign:</w:t>
      </w:r>
      <w:r w:rsidRPr="0063787C">
        <w:rPr>
          <w:color w:val="000000" w:themeColor="text1"/>
        </w:rPr>
        <w:t xml:space="preserve"> ISN/</w:t>
      </w:r>
      <w:r w:rsidRPr="2D8B8CF1">
        <w:rPr>
          <w:color w:val="000000" w:themeColor="text1"/>
        </w:rPr>
        <w:t>CTR’s FY23 foreign capacity building efforts will:</w:t>
      </w:r>
    </w:p>
    <w:p w14:paraId="29F3F8A3" w14:textId="77777777" w:rsidR="005A19DD" w:rsidRDefault="005A19DD" w:rsidP="005A19DD">
      <w:pPr>
        <w:pStyle w:val="NormalWeb"/>
        <w:numPr>
          <w:ilvl w:val="0"/>
          <w:numId w:val="29"/>
        </w:numPr>
        <w:rPr>
          <w:color w:val="000000"/>
        </w:rPr>
      </w:pPr>
      <w:r>
        <w:rPr>
          <w:color w:val="000000"/>
        </w:rPr>
        <w:t>Engage current buyers of Russian ACW on issues of defense diversification through analytical assessments of localization options and alternative suppliers of maintenance and spare parts.</w:t>
      </w:r>
    </w:p>
    <w:p w14:paraId="0F964A01" w14:textId="77777777" w:rsidR="005A19DD" w:rsidRDefault="005A19DD" w:rsidP="005A19DD">
      <w:pPr>
        <w:pStyle w:val="NormalWeb"/>
        <w:numPr>
          <w:ilvl w:val="0"/>
          <w:numId w:val="29"/>
        </w:numPr>
        <w:rPr>
          <w:color w:val="000000"/>
        </w:rPr>
      </w:pPr>
      <w:r>
        <w:rPr>
          <w:color w:val="000000"/>
        </w:rPr>
        <w:t xml:space="preserve">Engage academic and nongovernmental think tanks in Collective Security Treaty Organization (CSTO) member countries on identifying opportunities and alternative security partnerships that ensure regional and national priorities. </w:t>
      </w:r>
    </w:p>
    <w:p w14:paraId="13A1B21A" w14:textId="77777777" w:rsidR="005A19DD" w:rsidRDefault="005A19DD" w:rsidP="005A19DD">
      <w:pPr>
        <w:pStyle w:val="NormalWeb"/>
        <w:numPr>
          <w:ilvl w:val="0"/>
          <w:numId w:val="29"/>
        </w:numPr>
        <w:rPr>
          <w:color w:val="000000"/>
        </w:rPr>
      </w:pPr>
      <w:r>
        <w:rPr>
          <w:color w:val="000000"/>
        </w:rPr>
        <w:t xml:space="preserve">Using commercially available information, share analysis that demonstrates cases of Russian advanced technology procurement networks and Russian-PRC defense-related cooperation and ACW supply and logistical pathways that are used to overcome their current challenges. </w:t>
      </w:r>
    </w:p>
    <w:p w14:paraId="3D3A4997" w14:textId="77777777" w:rsidR="005A19DD" w:rsidRDefault="005A19DD" w:rsidP="005A19DD">
      <w:pPr>
        <w:pStyle w:val="NormalWeb"/>
        <w:numPr>
          <w:ilvl w:val="0"/>
          <w:numId w:val="29"/>
        </w:numPr>
        <w:rPr>
          <w:color w:val="000000"/>
        </w:rPr>
      </w:pPr>
      <w:r>
        <w:rPr>
          <w:color w:val="000000"/>
        </w:rPr>
        <w:t xml:space="preserve">Disseminate articles </w:t>
      </w:r>
      <w:r w:rsidRPr="00692F76">
        <w:rPr>
          <w:color w:val="000000"/>
        </w:rPr>
        <w:t>on the hidden costs of doing business with Russian</w:t>
      </w:r>
      <w:r>
        <w:rPr>
          <w:color w:val="000000"/>
        </w:rPr>
        <w:t xml:space="preserve"> and PRC</w:t>
      </w:r>
      <w:r w:rsidRPr="00692F76">
        <w:rPr>
          <w:color w:val="000000"/>
        </w:rPr>
        <w:t xml:space="preserve"> defense firms</w:t>
      </w:r>
      <w:r>
        <w:rPr>
          <w:color w:val="000000"/>
        </w:rPr>
        <w:t xml:space="preserve"> (to include corruption, long-term deals that bind countries to political capture in international forum, inflated costs over time, etc.),</w:t>
      </w:r>
      <w:r w:rsidRPr="00692F76">
        <w:rPr>
          <w:color w:val="000000"/>
        </w:rPr>
        <w:t xml:space="preserve"> </w:t>
      </w:r>
      <w:r>
        <w:rPr>
          <w:color w:val="000000"/>
        </w:rPr>
        <w:t>and</w:t>
      </w:r>
      <w:r w:rsidRPr="00692F76">
        <w:rPr>
          <w:color w:val="000000"/>
        </w:rPr>
        <w:t xml:space="preserve"> ACW functional and operational limitations</w:t>
      </w:r>
      <w:r>
        <w:rPr>
          <w:color w:val="000000"/>
        </w:rPr>
        <w:t xml:space="preserve">. </w:t>
      </w:r>
    </w:p>
    <w:p w14:paraId="0025FDE7" w14:textId="77777777" w:rsidR="005A19DD" w:rsidRDefault="005A19DD" w:rsidP="005A19DD">
      <w:pPr>
        <w:pStyle w:val="NormalWeb"/>
        <w:numPr>
          <w:ilvl w:val="0"/>
          <w:numId w:val="29"/>
        </w:numPr>
        <w:rPr>
          <w:color w:val="000000"/>
        </w:rPr>
      </w:pPr>
      <w:r>
        <w:rPr>
          <w:color w:val="000000"/>
        </w:rPr>
        <w:t>S</w:t>
      </w:r>
      <w:r w:rsidRPr="00692F76">
        <w:rPr>
          <w:color w:val="000000"/>
        </w:rPr>
        <w:t xml:space="preserve">upport a messaging campaign focused on publishing articles and organizing engagements that demonstrate the challenges and CAATSA-231 secondary sanctions risks associated with Russian ACW sales.  </w:t>
      </w:r>
    </w:p>
    <w:p w14:paraId="4C8A2470" w14:textId="77777777" w:rsidR="005A19DD" w:rsidRDefault="005A19DD" w:rsidP="005A19DD">
      <w:pPr>
        <w:pStyle w:val="ListParagraph"/>
        <w:numPr>
          <w:ilvl w:val="0"/>
          <w:numId w:val="29"/>
        </w:numPr>
        <w:spacing w:after="0" w:line="259"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Support the dissemination of the policy and corporate risks of continuing to do business with Russian, PRC defense entities, and their potential ties to Iranian entities through highlighting future sanctions scenarios.</w:t>
      </w:r>
    </w:p>
    <w:p w14:paraId="6AA4CC41" w14:textId="77777777" w:rsidR="005A19DD" w:rsidRPr="005928EB" w:rsidRDefault="005A19DD" w:rsidP="005A19DD">
      <w:pPr>
        <w:pStyle w:val="ListParagraph"/>
        <w:spacing w:after="0" w:line="259" w:lineRule="auto"/>
        <w:rPr>
          <w:rFonts w:ascii="Times New Roman" w:hAnsi="Times New Roman" w:cs="Times New Roman"/>
          <w:color w:val="000000" w:themeColor="text1"/>
          <w:sz w:val="24"/>
          <w:szCs w:val="24"/>
          <w:shd w:val="clear" w:color="auto" w:fill="FFFFFF"/>
        </w:rPr>
      </w:pPr>
    </w:p>
    <w:p w14:paraId="4F3CD399" w14:textId="77777777" w:rsidR="005A19DD" w:rsidRDefault="005A19DD" w:rsidP="005A19DD">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hAnsi="Times New Roman" w:cs="Times New Roman"/>
          <w:b/>
          <w:color w:val="000000"/>
          <w:sz w:val="24"/>
          <w:szCs w:val="24"/>
        </w:rPr>
        <w:t>Engagement Countries</w:t>
      </w:r>
      <w:r w:rsidRPr="00A07A58">
        <w:rPr>
          <w:rFonts w:ascii="Times New Roman" w:eastAsia="Times New Roman" w:hAnsi="Times New Roman" w:cs="Times New Roman"/>
          <w:b/>
          <w:bCs/>
          <w:sz w:val="24"/>
          <w:szCs w:val="24"/>
          <w:bdr w:val="none" w:sz="0" w:space="0" w:color="auto" w:frame="1"/>
        </w:rPr>
        <w:t xml:space="preserve">: </w:t>
      </w:r>
      <w:r w:rsidRPr="00F56C22">
        <w:rPr>
          <w:rFonts w:ascii="Times New Roman" w:eastAsia="Times New Roman" w:hAnsi="Times New Roman" w:cs="Times New Roman"/>
          <w:sz w:val="24"/>
          <w:szCs w:val="24"/>
          <w:bdr w:val="none" w:sz="0" w:space="0" w:color="auto" w:frame="1"/>
        </w:rPr>
        <w:t>NEA:</w:t>
      </w:r>
      <w:r>
        <w:rPr>
          <w:rFonts w:ascii="Times New Roman" w:eastAsia="Times New Roman" w:hAnsi="Times New Roman" w:cs="Times New Roman"/>
          <w:b/>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Algeria, Egypt, Jordan, UAE, AF: Angola, Mali, South Africa, EAP: Indonesia, Thailand, Vietnam, SCA: India, Kazakhstan.</w:t>
      </w:r>
    </w:p>
    <w:p w14:paraId="6B8E6354" w14:textId="77777777" w:rsidR="005A19DD" w:rsidRPr="00A07A58" w:rsidRDefault="005A19DD" w:rsidP="005A19DD">
      <w:pPr>
        <w:shd w:val="clear" w:color="auto" w:fill="FFFFFF"/>
        <w:spacing w:after="0" w:line="240" w:lineRule="auto"/>
        <w:ind w:left="720"/>
        <w:textAlignment w:val="baseline"/>
        <w:rPr>
          <w:rFonts w:ascii="Times New Roman" w:eastAsia="Times New Roman" w:hAnsi="Times New Roman" w:cs="Times New Roman"/>
          <w:sz w:val="24"/>
          <w:szCs w:val="24"/>
          <w:bdr w:val="none" w:sz="0" w:space="0" w:color="auto" w:frame="1"/>
        </w:rPr>
      </w:pPr>
    </w:p>
    <w:p w14:paraId="50858A0C" w14:textId="77777777" w:rsidR="005A19DD" w:rsidRPr="00562802" w:rsidRDefault="005A19DD" w:rsidP="005A19DD">
      <w:pPr>
        <w:pStyle w:val="NormalWeb"/>
        <w:rPr>
          <w:color w:val="000000"/>
        </w:rPr>
      </w:pPr>
      <w:r w:rsidRPr="2D8B8CF1">
        <w:rPr>
          <w:b/>
          <w:bCs/>
          <w:color w:val="000000" w:themeColor="text1"/>
        </w:rPr>
        <w:t>Private Military Companies (PMCs):</w:t>
      </w:r>
      <w:r w:rsidRPr="2D8B8CF1">
        <w:rPr>
          <w:color w:val="000000" w:themeColor="text1"/>
        </w:rPr>
        <w:t xml:space="preserve"> ISN/CTR’s FY23 foreign capacity building efforts will engage a rage of stakeholders in government, financial and election watchdogs, and military and law enforcement officials as well as civil society’s nongovernment organizations, journalists and other entities that report on security, corruption, human rights, and the rule of law to raise awareness of the risks of doing business with Russian PMCs. These engagements will provide partners with case studies, open-source training tools, procurement best practices, and research methodologies to identify PMCs involved in extralegal acts, and their deleterious effects on sovereignty, economic transparency, and human rights. Engagements should also include the political, economic, reputational, and natural resource costs of doing business with PMCs, as well as the potential for secondary sanctions risks of engaging in significant transactions with prohibited PMCs. </w:t>
      </w:r>
      <w:r>
        <w:br/>
      </w:r>
    </w:p>
    <w:p w14:paraId="2E0DC401" w14:textId="77777777" w:rsidR="005A19DD" w:rsidRDefault="005A19DD" w:rsidP="005A19DD">
      <w:pPr>
        <w:pStyle w:val="NormalWeb"/>
        <w:rPr>
          <w:color w:val="000000"/>
        </w:rPr>
      </w:pPr>
      <w:r w:rsidRPr="00562802">
        <w:rPr>
          <w:color w:val="000000"/>
        </w:rPr>
        <w:lastRenderedPageBreak/>
        <w:t>To raise awareness of the risks of doing business with illicit PMCs, foreign capacity building events in FY2</w:t>
      </w:r>
      <w:r>
        <w:rPr>
          <w:color w:val="000000"/>
        </w:rPr>
        <w:t>3</w:t>
      </w:r>
      <w:r w:rsidRPr="00562802">
        <w:rPr>
          <w:color w:val="000000"/>
        </w:rPr>
        <w:t xml:space="preserve"> will focus on promoting the implementation of PMC procurement best practices to perform due diligence requirements, and raise awareness of international standards. These engagements should provide detailed presentations on PMC deployment, financing, and logistics mechanisms. Engagements should share detailed open-source network maps of illicit PMCs, their subsidiaries, and beneficiaries that may expose parties to secondary sanctions risks.  </w:t>
      </w:r>
    </w:p>
    <w:p w14:paraId="61252571" w14:textId="77777777" w:rsidR="005A19DD" w:rsidRDefault="005A19DD" w:rsidP="005A19DD">
      <w:pPr>
        <w:pStyle w:val="NormalWeb"/>
        <w:numPr>
          <w:ilvl w:val="0"/>
          <w:numId w:val="32"/>
        </w:numPr>
        <w:rPr>
          <w:color w:val="000000"/>
        </w:rPr>
      </w:pPr>
      <w:r>
        <w:rPr>
          <w:color w:val="000000"/>
        </w:rPr>
        <w:t>P</w:t>
      </w:r>
      <w:r w:rsidRPr="00692F76">
        <w:rPr>
          <w:color w:val="000000"/>
        </w:rPr>
        <w:t xml:space="preserve">rovide detailed presentations on PMC deployment, financing, and logistics mechanisms. </w:t>
      </w:r>
    </w:p>
    <w:p w14:paraId="691A3A0A" w14:textId="77777777" w:rsidR="005A19DD" w:rsidRDefault="005A19DD" w:rsidP="005A19DD">
      <w:pPr>
        <w:pStyle w:val="NormalWeb"/>
        <w:numPr>
          <w:ilvl w:val="0"/>
          <w:numId w:val="32"/>
        </w:numPr>
        <w:rPr>
          <w:color w:val="000000"/>
        </w:rPr>
      </w:pPr>
      <w:r>
        <w:rPr>
          <w:color w:val="000000"/>
        </w:rPr>
        <w:t>P</w:t>
      </w:r>
      <w:r w:rsidRPr="00692F76">
        <w:rPr>
          <w:color w:val="000000"/>
        </w:rPr>
        <w:t xml:space="preserve">rovide partners with open-source training tools and research methodologies to identify PMCs involved in extralegal acts, and their deleterious effects on sovereignty, economic transparency, and human rights. </w:t>
      </w:r>
    </w:p>
    <w:p w14:paraId="2E31713E" w14:textId="77777777" w:rsidR="005A19DD" w:rsidRDefault="005A19DD" w:rsidP="005A19DD">
      <w:pPr>
        <w:pStyle w:val="NormalWeb"/>
        <w:numPr>
          <w:ilvl w:val="0"/>
          <w:numId w:val="32"/>
        </w:numPr>
        <w:rPr>
          <w:color w:val="000000"/>
        </w:rPr>
      </w:pPr>
      <w:r>
        <w:rPr>
          <w:color w:val="000000"/>
        </w:rPr>
        <w:t>S</w:t>
      </w:r>
      <w:r w:rsidRPr="00692F76">
        <w:rPr>
          <w:color w:val="000000"/>
        </w:rPr>
        <w:t xml:space="preserve">hare detailed open-source network maps of illicit PMCs, their subsidiaries, and beneficiaries that may expose parties to secondary sanctions risks.  </w:t>
      </w:r>
    </w:p>
    <w:p w14:paraId="39D228AC" w14:textId="77777777" w:rsidR="005A19DD" w:rsidRPr="00692F76" w:rsidRDefault="005A19DD" w:rsidP="005A19DD">
      <w:pPr>
        <w:pStyle w:val="NormalWeb"/>
        <w:numPr>
          <w:ilvl w:val="0"/>
          <w:numId w:val="32"/>
        </w:numPr>
        <w:rPr>
          <w:color w:val="000000"/>
        </w:rPr>
      </w:pPr>
      <w:r>
        <w:rPr>
          <w:color w:val="000000"/>
        </w:rPr>
        <w:t>Highlight</w:t>
      </w:r>
      <w:r w:rsidRPr="00692F76">
        <w:rPr>
          <w:color w:val="000000"/>
        </w:rPr>
        <w:t xml:space="preserve"> the political, economic, reputational, and natural resource costs of doing business with illicit PMCs, as well as the potential for secondary sanctions risks of engaging in significant transactions with prohibited PMCs. </w:t>
      </w:r>
    </w:p>
    <w:p w14:paraId="4E6F1D75" w14:textId="77777777" w:rsidR="005A19DD" w:rsidRDefault="005A19DD" w:rsidP="005A19DD">
      <w:pPr>
        <w:pStyle w:val="NormalWeb"/>
        <w:numPr>
          <w:ilvl w:val="0"/>
          <w:numId w:val="32"/>
        </w:numPr>
        <w:rPr>
          <w:color w:val="000000"/>
        </w:rPr>
      </w:pPr>
      <w:r>
        <w:rPr>
          <w:color w:val="000000"/>
        </w:rPr>
        <w:t>F</w:t>
      </w:r>
      <w:r w:rsidRPr="00692F76">
        <w:rPr>
          <w:color w:val="000000"/>
        </w:rPr>
        <w:t>ocus on promoting the implementation of PMC procurement best practices to perform due diligence requirements, and raise awareness</w:t>
      </w:r>
      <w:r>
        <w:rPr>
          <w:color w:val="000000"/>
        </w:rPr>
        <w:t xml:space="preserve"> and encourage adoption</w:t>
      </w:r>
      <w:r w:rsidRPr="00692F76">
        <w:rPr>
          <w:color w:val="000000"/>
        </w:rPr>
        <w:t xml:space="preserve"> of international standard</w:t>
      </w:r>
      <w:r>
        <w:rPr>
          <w:color w:val="000000"/>
        </w:rPr>
        <w:t>s outlined in the M</w:t>
      </w:r>
      <w:r w:rsidRPr="006E4790">
        <w:rPr>
          <w:color w:val="000000"/>
        </w:rPr>
        <w:t>ontreux</w:t>
      </w:r>
      <w:r>
        <w:rPr>
          <w:color w:val="000000"/>
        </w:rPr>
        <w:t xml:space="preserve"> document.</w:t>
      </w:r>
    </w:p>
    <w:p w14:paraId="17C9FC94" w14:textId="5E909641" w:rsidR="005A19DD" w:rsidRPr="00F56C22" w:rsidRDefault="005A19DD" w:rsidP="005A19DD">
      <w:pPr>
        <w:pStyle w:val="NormalWeb"/>
        <w:numPr>
          <w:ilvl w:val="0"/>
          <w:numId w:val="32"/>
        </w:numPr>
        <w:rPr>
          <w:color w:val="000000"/>
        </w:rPr>
      </w:pPr>
      <w:r w:rsidRPr="2D8B8CF1">
        <w:rPr>
          <w:color w:val="000000" w:themeColor="text1"/>
        </w:rPr>
        <w:t>Use open-source reporting and UN Panel of Experts reports to provide partner financial institutions and cryptocurrency exchanges with list-based screening tools of individuals suspected of fighting for or being linked to PMCs.</w:t>
      </w:r>
    </w:p>
    <w:p w14:paraId="492D5EB1" w14:textId="01E1F589" w:rsidR="00B61396" w:rsidRPr="00D553E9" w:rsidRDefault="005A19DD" w:rsidP="005A19DD">
      <w:pPr>
        <w:pStyle w:val="NormalWeb"/>
        <w:rPr>
          <w:color w:val="000000" w:themeColor="text1"/>
          <w:bdr w:val="none" w:sz="0" w:space="0" w:color="auto" w:frame="1"/>
        </w:rPr>
      </w:pPr>
      <w:r w:rsidRPr="001317B8">
        <w:rPr>
          <w:b/>
          <w:bCs/>
          <w:color w:val="000000"/>
        </w:rPr>
        <w:t xml:space="preserve">Engagement </w:t>
      </w:r>
      <w:r>
        <w:rPr>
          <w:b/>
          <w:bCs/>
          <w:color w:val="000000"/>
        </w:rPr>
        <w:t>C</w:t>
      </w:r>
      <w:r w:rsidRPr="001317B8">
        <w:rPr>
          <w:b/>
          <w:bCs/>
          <w:color w:val="000000"/>
        </w:rPr>
        <w:t xml:space="preserve">ountries: </w:t>
      </w:r>
      <w:r>
        <w:rPr>
          <w:bCs/>
          <w:color w:val="000000"/>
        </w:rPr>
        <w:t xml:space="preserve">AF: </w:t>
      </w:r>
      <w:r w:rsidRPr="00692F76">
        <w:rPr>
          <w:bCs/>
          <w:color w:val="000000"/>
          <w:bdr w:val="none" w:sz="0" w:space="0" w:color="auto" w:frame="1"/>
        </w:rPr>
        <w:t>Angola,</w:t>
      </w:r>
      <w:r>
        <w:rPr>
          <w:bCs/>
          <w:color w:val="000000"/>
          <w:bdr w:val="none" w:sz="0" w:space="0" w:color="auto" w:frame="1"/>
        </w:rPr>
        <w:t xml:space="preserve"> Burkina Faso,</w:t>
      </w:r>
      <w:r w:rsidRPr="00692F76">
        <w:rPr>
          <w:bCs/>
          <w:color w:val="000000"/>
          <w:bdr w:val="none" w:sz="0" w:space="0" w:color="auto" w:frame="1"/>
        </w:rPr>
        <w:t xml:space="preserve"> Central African Republic</w:t>
      </w:r>
      <w:r>
        <w:rPr>
          <w:bCs/>
          <w:color w:val="000000"/>
          <w:bdr w:val="none" w:sz="0" w:space="0" w:color="auto" w:frame="1"/>
        </w:rPr>
        <w:t>,</w:t>
      </w:r>
      <w:r w:rsidRPr="00692F76">
        <w:rPr>
          <w:bCs/>
          <w:color w:val="000000"/>
          <w:bdr w:val="none" w:sz="0" w:space="0" w:color="auto" w:frame="1"/>
        </w:rPr>
        <w:t xml:space="preserve"> Guinea, Madagascar, Mozambique, Namibia,</w:t>
      </w:r>
      <w:r>
        <w:rPr>
          <w:bCs/>
          <w:color w:val="000000"/>
          <w:bdr w:val="none" w:sz="0" w:space="0" w:color="auto" w:frame="1"/>
        </w:rPr>
        <w:t xml:space="preserve"> Niger, Nigeria,</w:t>
      </w:r>
      <w:r w:rsidRPr="00692F76">
        <w:rPr>
          <w:bCs/>
          <w:color w:val="000000"/>
          <w:bdr w:val="none" w:sz="0" w:space="0" w:color="auto" w:frame="1"/>
        </w:rPr>
        <w:t xml:space="preserve"> South Africa</w:t>
      </w:r>
      <w:r>
        <w:rPr>
          <w:color w:val="000000"/>
          <w:bdr w:val="none" w:sz="0" w:space="0" w:color="auto" w:frame="1"/>
        </w:rPr>
        <w:t xml:space="preserve">, </w:t>
      </w:r>
      <w:r w:rsidRPr="00692F76">
        <w:rPr>
          <w:bCs/>
          <w:color w:val="000000"/>
          <w:bdr w:val="none" w:sz="0" w:space="0" w:color="auto" w:frame="1"/>
        </w:rPr>
        <w:t xml:space="preserve">Zambia, </w:t>
      </w:r>
      <w:r>
        <w:rPr>
          <w:color w:val="000000"/>
          <w:bdr w:val="none" w:sz="0" w:space="0" w:color="auto" w:frame="1"/>
        </w:rPr>
        <w:t xml:space="preserve">EUR: Ukraine, NEA: Algeria, Libya. </w:t>
      </w:r>
    </w:p>
    <w:p w14:paraId="6C967910"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B</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INFORMATION</w:t>
      </w:r>
      <w:r w:rsidR="00B61396" w:rsidRPr="00D553E9">
        <w:rPr>
          <w:rFonts w:ascii="Times New Roman" w:eastAsia="Times New Roman" w:hAnsi="Times New Roman" w:cs="Times New Roman"/>
          <w:b/>
          <w:bCs/>
          <w:sz w:val="24"/>
          <w:szCs w:val="24"/>
          <w:bdr w:val="none" w:sz="0" w:space="0" w:color="auto" w:frame="1"/>
        </w:rPr>
        <w:br/>
      </w:r>
    </w:p>
    <w:p w14:paraId="63AF4B5A" w14:textId="74344B2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Length of performance period: </w:t>
      </w:r>
      <w:r w:rsidR="00321FD7" w:rsidRPr="00D553E9">
        <w:rPr>
          <w:rFonts w:ascii="Times New Roman" w:eastAsia="Times New Roman" w:hAnsi="Times New Roman" w:cs="Times New Roman"/>
          <w:bCs/>
          <w:iCs/>
          <w:sz w:val="24"/>
          <w:szCs w:val="24"/>
          <w:bdr w:val="none" w:sz="0" w:space="0" w:color="auto" w:frame="1"/>
        </w:rPr>
        <w:t>12 Months</w:t>
      </w:r>
      <w:r w:rsidRPr="00D553E9">
        <w:rPr>
          <w:rFonts w:ascii="Times New Roman" w:eastAsia="Times New Roman" w:hAnsi="Times New Roman" w:cs="Times New Roman"/>
          <w:bCs/>
          <w:i/>
          <w:sz w:val="24"/>
          <w:szCs w:val="24"/>
          <w:bdr w:val="none" w:sz="0" w:space="0" w:color="auto" w:frame="1"/>
        </w:rPr>
        <w:t xml:space="preserve"> </w:t>
      </w:r>
    </w:p>
    <w:p w14:paraId="56EAB54E" w14:textId="16E226E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Number of awards anticipate</w:t>
      </w:r>
      <w:r w:rsidR="00321FD7" w:rsidRPr="00D553E9">
        <w:rPr>
          <w:rFonts w:ascii="Times New Roman" w:eastAsia="Times New Roman" w:hAnsi="Times New Roman" w:cs="Times New Roman"/>
          <w:bCs/>
          <w:sz w:val="24"/>
          <w:szCs w:val="24"/>
          <w:bdr w:val="none" w:sz="0" w:space="0" w:color="auto" w:frame="1"/>
        </w:rPr>
        <w:t>d: 20-50</w:t>
      </w:r>
      <w:r w:rsidRPr="00D553E9">
        <w:rPr>
          <w:rFonts w:ascii="Times New Roman" w:eastAsia="Times New Roman" w:hAnsi="Times New Roman" w:cs="Times New Roman"/>
          <w:bCs/>
          <w:i/>
          <w:color w:val="FF0000"/>
          <w:sz w:val="24"/>
          <w:szCs w:val="24"/>
          <w:bdr w:val="none" w:sz="0" w:space="0" w:color="auto" w:frame="1"/>
        </w:rPr>
        <w:t xml:space="preserve"> </w:t>
      </w:r>
      <w:r w:rsidRPr="00D553E9">
        <w:rPr>
          <w:rFonts w:ascii="Times New Roman" w:eastAsia="Times New Roman" w:hAnsi="Times New Roman" w:cs="Times New Roman"/>
          <w:bCs/>
          <w:sz w:val="24"/>
          <w:szCs w:val="24"/>
          <w:bdr w:val="none" w:sz="0" w:space="0" w:color="auto" w:frame="1"/>
        </w:rPr>
        <w:t>awards (dependent on amounts)</w:t>
      </w:r>
    </w:p>
    <w:p w14:paraId="053A439C" w14:textId="566C0F4A" w:rsidR="00E956A6" w:rsidRPr="00D553E9" w:rsidRDefault="00E956A6" w:rsidP="00E2AA56">
      <w:pPr>
        <w:shd w:val="clear" w:color="auto" w:fill="FFFFFF" w:themeFill="background1"/>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Award amounts: awards may range from a minimum </w:t>
      </w:r>
      <w:r w:rsidRPr="00804B35">
        <w:rPr>
          <w:rFonts w:ascii="Times New Roman" w:eastAsia="Times New Roman" w:hAnsi="Times New Roman" w:cs="Times New Roman"/>
          <w:bCs/>
          <w:sz w:val="24"/>
          <w:szCs w:val="24"/>
          <w:bdr w:val="none" w:sz="0" w:space="0" w:color="auto" w:frame="1"/>
        </w:rPr>
        <w:t>of</w:t>
      </w:r>
      <w:r w:rsidR="00282D72" w:rsidRPr="00804B35">
        <w:rPr>
          <w:rFonts w:ascii="Times New Roman" w:eastAsia="Times New Roman" w:hAnsi="Times New Roman" w:cs="Times New Roman"/>
          <w:bCs/>
          <w:sz w:val="24"/>
          <w:szCs w:val="24"/>
          <w:bdr w:val="none" w:sz="0" w:space="0" w:color="auto" w:frame="1"/>
        </w:rPr>
        <w:t xml:space="preserve"> </w:t>
      </w:r>
      <w:r w:rsidR="00282D72" w:rsidRPr="00804B35">
        <w:rPr>
          <w:rFonts w:ascii="Times New Roman" w:eastAsia="Times New Roman" w:hAnsi="Times New Roman" w:cs="Times New Roman"/>
          <w:sz w:val="24"/>
          <w:szCs w:val="24"/>
          <w:bdr w:val="none" w:sz="0" w:space="0" w:color="auto" w:frame="1"/>
        </w:rPr>
        <w:t>$50,000</w:t>
      </w:r>
      <w:r w:rsidR="00282D72" w:rsidRPr="00804B35">
        <w:rPr>
          <w:rFonts w:ascii="Times New Roman" w:eastAsia="Times New Roman" w:hAnsi="Times New Roman" w:cs="Times New Roman"/>
          <w:bCs/>
          <w:sz w:val="24"/>
          <w:szCs w:val="24"/>
          <w:bdr w:val="none" w:sz="0" w:space="0" w:color="auto" w:frame="1"/>
        </w:rPr>
        <w:t xml:space="preserve"> </w:t>
      </w:r>
      <w:r w:rsidRPr="00804B35">
        <w:rPr>
          <w:rFonts w:ascii="Times New Roman" w:eastAsia="Times New Roman" w:hAnsi="Times New Roman" w:cs="Times New Roman"/>
          <w:bCs/>
          <w:sz w:val="24"/>
          <w:szCs w:val="24"/>
          <w:bdr w:val="none" w:sz="0" w:space="0" w:color="auto" w:frame="1"/>
        </w:rPr>
        <w:t>to a maximum of</w:t>
      </w:r>
      <w:r w:rsidR="00282D72" w:rsidRPr="00804B35">
        <w:rPr>
          <w:rFonts w:ascii="Times New Roman" w:eastAsia="Times New Roman" w:hAnsi="Times New Roman" w:cs="Times New Roman"/>
          <w:bCs/>
          <w:sz w:val="24"/>
          <w:szCs w:val="24"/>
          <w:bdr w:val="none" w:sz="0" w:space="0" w:color="auto" w:frame="1"/>
        </w:rPr>
        <w:t xml:space="preserve"> </w:t>
      </w:r>
      <w:r w:rsidR="00282D72" w:rsidRPr="00804B35">
        <w:rPr>
          <w:rFonts w:ascii="Times New Roman" w:eastAsia="Times New Roman" w:hAnsi="Times New Roman" w:cs="Times New Roman"/>
          <w:sz w:val="24"/>
          <w:szCs w:val="24"/>
          <w:bdr w:val="none" w:sz="0" w:space="0" w:color="auto" w:frame="1"/>
        </w:rPr>
        <w:t>$2</w:t>
      </w:r>
      <w:r w:rsidR="00804B35" w:rsidRPr="00804B35">
        <w:rPr>
          <w:rFonts w:ascii="Times New Roman" w:eastAsia="Times New Roman" w:hAnsi="Times New Roman" w:cs="Times New Roman"/>
          <w:sz w:val="24"/>
          <w:szCs w:val="24"/>
          <w:bdr w:val="none" w:sz="0" w:space="0" w:color="auto" w:frame="1"/>
        </w:rPr>
        <w:t>0</w:t>
      </w:r>
      <w:r w:rsidR="00282D72" w:rsidRPr="00804B35">
        <w:rPr>
          <w:rFonts w:ascii="Times New Roman" w:eastAsia="Times New Roman" w:hAnsi="Times New Roman" w:cs="Times New Roman"/>
          <w:sz w:val="24"/>
          <w:szCs w:val="24"/>
          <w:bdr w:val="none" w:sz="0" w:space="0" w:color="auto" w:frame="1"/>
        </w:rPr>
        <w:t>0,000</w:t>
      </w:r>
    </w:p>
    <w:p w14:paraId="5AA64704" w14:textId="57A0461C" w:rsidR="006C3452"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Total available funding:</w:t>
      </w:r>
      <w:r w:rsidR="006C3452">
        <w:rPr>
          <w:rFonts w:ascii="Times New Roman" w:eastAsia="Times New Roman" w:hAnsi="Times New Roman" w:cs="Times New Roman"/>
          <w:bCs/>
          <w:sz w:val="24"/>
          <w:szCs w:val="24"/>
          <w:bdr w:val="none" w:sz="0" w:space="0" w:color="auto" w:frame="1"/>
        </w:rPr>
        <w:t xml:space="preserve"> </w:t>
      </w:r>
      <w:r w:rsidR="006C3452" w:rsidRPr="006C3452">
        <w:rPr>
          <w:rFonts w:ascii="Times New Roman" w:eastAsia="Times New Roman" w:hAnsi="Times New Roman" w:cs="Times New Roman"/>
          <w:bCs/>
          <w:iCs/>
          <w:sz w:val="24"/>
          <w:szCs w:val="24"/>
          <w:bdr w:val="none" w:sz="0" w:space="0" w:color="auto" w:frame="1"/>
        </w:rPr>
        <w:t>$4,900,000</w:t>
      </w:r>
    </w:p>
    <w:p w14:paraId="6FE5053F" w14:textId="6EE4CD56" w:rsidR="00A572BB"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Type of Funding:  </w:t>
      </w:r>
      <w:r w:rsidR="006329CD" w:rsidRPr="00D553E9">
        <w:rPr>
          <w:rStyle w:val="normaltextrun"/>
          <w:rFonts w:ascii="Times New Roman" w:hAnsi="Times New Roman" w:cs="Times New Roman"/>
          <w:color w:val="000000"/>
          <w:sz w:val="24"/>
          <w:szCs w:val="24"/>
          <w:shd w:val="clear" w:color="auto" w:fill="FFFFFF"/>
        </w:rPr>
        <w:t>FY23/24 Nonproliferation, Anti-Terrorism, Demining and Related Activities Funds under the Foreign Assistance Act. </w:t>
      </w:r>
    </w:p>
    <w:p w14:paraId="40073700" w14:textId="1C7A4CAB"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Anticipated </w:t>
      </w:r>
      <w:r w:rsidR="00B37DD1" w:rsidRPr="00D553E9">
        <w:rPr>
          <w:rFonts w:ascii="Times New Roman" w:eastAsia="Times New Roman" w:hAnsi="Times New Roman" w:cs="Times New Roman"/>
          <w:bCs/>
          <w:sz w:val="24"/>
          <w:szCs w:val="24"/>
          <w:bdr w:val="none" w:sz="0" w:space="0" w:color="auto" w:frame="1"/>
        </w:rPr>
        <w:t>program</w:t>
      </w:r>
      <w:r w:rsidRPr="00D553E9">
        <w:rPr>
          <w:rFonts w:ascii="Times New Roman" w:eastAsia="Times New Roman" w:hAnsi="Times New Roman" w:cs="Times New Roman"/>
          <w:bCs/>
          <w:sz w:val="24"/>
          <w:szCs w:val="24"/>
          <w:bdr w:val="none" w:sz="0" w:space="0" w:color="auto" w:frame="1"/>
        </w:rPr>
        <w:t xml:space="preserve"> start date: </w:t>
      </w:r>
      <w:r w:rsidR="006329CD" w:rsidRPr="00D553E9">
        <w:rPr>
          <w:rStyle w:val="normaltextrun"/>
          <w:rFonts w:ascii="Times New Roman" w:hAnsi="Times New Roman" w:cs="Times New Roman"/>
          <w:color w:val="000000"/>
          <w:sz w:val="24"/>
          <w:szCs w:val="24"/>
          <w:shd w:val="clear" w:color="auto" w:fill="FFFFFF"/>
        </w:rPr>
        <w:t>October 1, 2023</w:t>
      </w:r>
    </w:p>
    <w:p w14:paraId="6FD5D13D" w14:textId="77777777" w:rsidR="008B454C" w:rsidRPr="00D553E9"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D553E9"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350E52A" w14:textId="762EBE32" w:rsidR="00B61396" w:rsidRPr="00D553E9" w:rsidRDefault="00852712"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 xml:space="preserve">Funding Instrument </w:t>
      </w:r>
      <w:r w:rsidR="00B61396" w:rsidRPr="00D553E9">
        <w:rPr>
          <w:rFonts w:ascii="Times New Roman" w:eastAsia="Times New Roman" w:hAnsi="Times New Roman" w:cs="Times New Roman"/>
          <w:b/>
          <w:bCs/>
          <w:sz w:val="24"/>
          <w:szCs w:val="24"/>
          <w:bdr w:val="none" w:sz="0" w:space="0" w:color="auto" w:frame="1"/>
        </w:rPr>
        <w:t>Type:  </w:t>
      </w:r>
      <w:r w:rsidR="00B61396" w:rsidRPr="00D553E9">
        <w:rPr>
          <w:rFonts w:ascii="Times New Roman" w:eastAsia="Times New Roman" w:hAnsi="Times New Roman" w:cs="Times New Roman"/>
          <w:sz w:val="24"/>
          <w:szCs w:val="24"/>
        </w:rPr>
        <w:t xml:space="preserve"> </w:t>
      </w:r>
      <w:r w:rsidR="00D45A13" w:rsidRPr="00D553E9">
        <w:rPr>
          <w:rFonts w:ascii="Times New Roman" w:eastAsia="Times New Roman" w:hAnsi="Times New Roman" w:cs="Times New Roman"/>
          <w:sz w:val="24"/>
          <w:szCs w:val="24"/>
        </w:rPr>
        <w:t>C</w:t>
      </w:r>
      <w:r w:rsidR="00B61396" w:rsidRPr="00D553E9">
        <w:rPr>
          <w:rFonts w:ascii="Times New Roman" w:eastAsia="Times New Roman" w:hAnsi="Times New Roman" w:cs="Times New Roman"/>
          <w:sz w:val="24"/>
          <w:szCs w:val="24"/>
        </w:rPr>
        <w:t>ooperative agreement</w:t>
      </w:r>
      <w:r w:rsidR="00D45A13" w:rsidRPr="00D553E9">
        <w:rPr>
          <w:rFonts w:ascii="Times New Roman" w:eastAsia="Times New Roman" w:hAnsi="Times New Roman" w:cs="Times New Roman"/>
          <w:sz w:val="24"/>
          <w:szCs w:val="24"/>
        </w:rPr>
        <w:t>s</w:t>
      </w:r>
      <w:r w:rsidR="00B61396" w:rsidRPr="00D553E9">
        <w:rPr>
          <w:rFonts w:ascii="Times New Roman" w:eastAsia="Times New Roman" w:hAnsi="Times New Roman" w:cs="Times New Roman"/>
          <w:sz w:val="24"/>
          <w:szCs w:val="24"/>
        </w:rPr>
        <w:t xml:space="preserve">. Cooperative agreements are different from grants in that </w:t>
      </w:r>
      <w:r w:rsidR="008B454C" w:rsidRPr="00D553E9">
        <w:rPr>
          <w:rFonts w:ascii="Times New Roman" w:eastAsia="Times New Roman" w:hAnsi="Times New Roman" w:cs="Times New Roman"/>
          <w:sz w:val="24"/>
          <w:szCs w:val="24"/>
        </w:rPr>
        <w:t>bureau/embassy</w:t>
      </w:r>
      <w:r w:rsidR="00B61396" w:rsidRPr="00D553E9">
        <w:rPr>
          <w:rFonts w:ascii="Times New Roman" w:eastAsia="Times New Roman" w:hAnsi="Times New Roman" w:cs="Times New Roman"/>
          <w:sz w:val="24"/>
          <w:szCs w:val="24"/>
        </w:rPr>
        <w:t xml:space="preserve"> staff are more actively involved </w:t>
      </w:r>
      <w:r w:rsidR="00C015BA" w:rsidRPr="00D553E9">
        <w:rPr>
          <w:rFonts w:ascii="Times New Roman" w:eastAsia="Times New Roman" w:hAnsi="Times New Roman" w:cs="Times New Roman"/>
          <w:sz w:val="24"/>
          <w:szCs w:val="24"/>
        </w:rPr>
        <w:t xml:space="preserve">in the grant </w:t>
      </w:r>
      <w:r w:rsidR="00D0290D" w:rsidRPr="00D553E9">
        <w:rPr>
          <w:rFonts w:ascii="Times New Roman" w:eastAsia="Times New Roman" w:hAnsi="Times New Roman" w:cs="Times New Roman"/>
          <w:sz w:val="24"/>
          <w:szCs w:val="24"/>
        </w:rPr>
        <w:t>implementation</w:t>
      </w:r>
      <w:r w:rsidR="00B61396" w:rsidRPr="00D553E9">
        <w:rPr>
          <w:rFonts w:ascii="Times New Roman" w:eastAsia="Times New Roman" w:hAnsi="Times New Roman" w:cs="Times New Roman"/>
          <w:color w:val="333333"/>
          <w:sz w:val="24"/>
          <w:szCs w:val="24"/>
        </w:rPr>
        <w:t>.</w:t>
      </w:r>
      <w:r w:rsidR="008F0AB2" w:rsidRPr="00D553E9">
        <w:rPr>
          <w:rFonts w:ascii="Times New Roman" w:eastAsia="Times New Roman" w:hAnsi="Times New Roman" w:cs="Times New Roman"/>
          <w:color w:val="333333"/>
          <w:sz w:val="24"/>
          <w:szCs w:val="24"/>
        </w:rPr>
        <w:t xml:space="preserve">  </w:t>
      </w:r>
    </w:p>
    <w:p w14:paraId="43C503AD" w14:textId="63424B01" w:rsidR="00657CE7" w:rsidRPr="00D553E9" w:rsidRDefault="00657CE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3AD469D1" w:rsidR="008F0AB2" w:rsidRPr="00D553E9"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Fonts w:ascii="Times New Roman" w:eastAsia="Times New Roman" w:hAnsi="Times New Roman" w:cs="Times New Roman"/>
          <w:b/>
          <w:bCs/>
          <w:sz w:val="24"/>
          <w:szCs w:val="24"/>
          <w:bdr w:val="none" w:sz="0" w:space="0" w:color="auto" w:frame="1"/>
        </w:rPr>
        <w:t>Program</w:t>
      </w:r>
      <w:r w:rsidR="00B61396" w:rsidRPr="00D553E9">
        <w:rPr>
          <w:rFonts w:ascii="Times New Roman" w:eastAsia="Times New Roman" w:hAnsi="Times New Roman" w:cs="Times New Roman"/>
          <w:b/>
          <w:bCs/>
          <w:sz w:val="24"/>
          <w:szCs w:val="24"/>
          <w:bdr w:val="none" w:sz="0" w:space="0" w:color="auto" w:frame="1"/>
        </w:rPr>
        <w:t xml:space="preserve"> </w:t>
      </w:r>
      <w:r w:rsidR="00C015BA" w:rsidRPr="00D553E9">
        <w:rPr>
          <w:rFonts w:ascii="Times New Roman" w:eastAsia="Times New Roman" w:hAnsi="Times New Roman" w:cs="Times New Roman"/>
          <w:b/>
          <w:bCs/>
          <w:sz w:val="24"/>
          <w:szCs w:val="24"/>
          <w:bdr w:val="none" w:sz="0" w:space="0" w:color="auto" w:frame="1"/>
        </w:rPr>
        <w:t>Performance</w:t>
      </w:r>
      <w:r w:rsidR="00B61396" w:rsidRPr="00D553E9">
        <w:rPr>
          <w:rFonts w:ascii="Times New Roman" w:eastAsia="Times New Roman" w:hAnsi="Times New Roman" w:cs="Times New Roman"/>
          <w:b/>
          <w:bCs/>
          <w:sz w:val="24"/>
          <w:szCs w:val="24"/>
          <w:bdr w:val="none" w:sz="0" w:space="0" w:color="auto" w:frame="1"/>
        </w:rPr>
        <w:t xml:space="preserve"> Period</w:t>
      </w:r>
      <w:r w:rsidR="00B166C2" w:rsidRPr="00D553E9">
        <w:rPr>
          <w:rFonts w:ascii="Times New Roman" w:eastAsia="Times New Roman" w:hAnsi="Times New Roman" w:cs="Times New Roman"/>
          <w:sz w:val="24"/>
          <w:szCs w:val="24"/>
        </w:rPr>
        <w:t xml:space="preserve">: Proposed </w:t>
      </w:r>
      <w:r w:rsidRPr="00D553E9">
        <w:rPr>
          <w:rFonts w:ascii="Times New Roman" w:eastAsia="Times New Roman" w:hAnsi="Times New Roman" w:cs="Times New Roman"/>
          <w:sz w:val="24"/>
          <w:szCs w:val="24"/>
        </w:rPr>
        <w:t>programs</w:t>
      </w:r>
      <w:r w:rsidR="00B61396" w:rsidRPr="00D553E9">
        <w:rPr>
          <w:rFonts w:ascii="Times New Roman" w:eastAsia="Times New Roman" w:hAnsi="Times New Roman" w:cs="Times New Roman"/>
          <w:sz w:val="24"/>
          <w:szCs w:val="24"/>
        </w:rPr>
        <w:t xml:space="preserve"> should be completed in</w:t>
      </w:r>
      <w:r w:rsidR="00E777F6" w:rsidRPr="00D553E9">
        <w:rPr>
          <w:rFonts w:ascii="Times New Roman" w:eastAsia="Times New Roman" w:hAnsi="Times New Roman" w:cs="Times New Roman"/>
          <w:sz w:val="24"/>
          <w:szCs w:val="24"/>
        </w:rPr>
        <w:t xml:space="preserve"> 12</w:t>
      </w:r>
      <w:r w:rsidR="00B61396" w:rsidRPr="00D553E9">
        <w:rPr>
          <w:rFonts w:ascii="Times New Roman" w:eastAsia="Times New Roman" w:hAnsi="Times New Roman" w:cs="Times New Roman"/>
          <w:color w:val="333333"/>
          <w:sz w:val="24"/>
          <w:szCs w:val="24"/>
        </w:rPr>
        <w:t xml:space="preserve"> </w:t>
      </w:r>
      <w:r w:rsidR="00B61396" w:rsidRPr="00D553E9">
        <w:rPr>
          <w:rFonts w:ascii="Times New Roman" w:eastAsia="Times New Roman" w:hAnsi="Times New Roman" w:cs="Times New Roman"/>
          <w:sz w:val="24"/>
          <w:szCs w:val="24"/>
        </w:rPr>
        <w:t xml:space="preserve">or less. </w:t>
      </w:r>
    </w:p>
    <w:p w14:paraId="3EB2C0B2" w14:textId="77777777" w:rsidR="00C015BA"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C</w:t>
      </w:r>
      <w:r w:rsidR="00B61396" w:rsidRPr="00D553E9">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D553E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Eligible Applicants</w:t>
      </w:r>
    </w:p>
    <w:p w14:paraId="3F11DB41"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CB5A9F7" w14:textId="77777777" w:rsidR="004714BF" w:rsidRPr="00D553E9" w:rsidRDefault="004714BF" w:rsidP="004714BF">
      <w:pPr>
        <w:pStyle w:val="paragraph"/>
        <w:spacing w:before="0" w:beforeAutospacing="0" w:after="0" w:afterAutospacing="0"/>
        <w:textAlignment w:val="baseline"/>
        <w:rPr>
          <w:color w:val="000000"/>
        </w:rPr>
      </w:pPr>
      <w:r w:rsidRPr="00D553E9">
        <w:rPr>
          <w:rStyle w:val="normaltextrun"/>
          <w:color w:val="000000"/>
        </w:rPr>
        <w:t>The following organizations are eligible to apply (both domestic and international): </w:t>
      </w:r>
      <w:r w:rsidRPr="00D553E9">
        <w:rPr>
          <w:rStyle w:val="eop"/>
          <w:color w:val="000000"/>
        </w:rPr>
        <w:t> </w:t>
      </w:r>
    </w:p>
    <w:p w14:paraId="2046499D" w14:textId="77777777" w:rsidR="004714BF" w:rsidRPr="00D553E9" w:rsidRDefault="004714BF" w:rsidP="00202D1D">
      <w:pPr>
        <w:pStyle w:val="paragraph"/>
        <w:numPr>
          <w:ilvl w:val="0"/>
          <w:numId w:val="18"/>
        </w:numPr>
        <w:spacing w:before="0" w:beforeAutospacing="0" w:after="0" w:afterAutospacing="0"/>
        <w:ind w:left="1080" w:firstLine="0"/>
        <w:textAlignment w:val="baseline"/>
        <w:rPr>
          <w:color w:val="000000"/>
        </w:rPr>
      </w:pPr>
      <w:r w:rsidRPr="00D553E9">
        <w:rPr>
          <w:rStyle w:val="normaltextrun"/>
          <w:color w:val="000000"/>
        </w:rPr>
        <w:t>Not-for-profit organizations </w:t>
      </w:r>
      <w:r w:rsidRPr="00D553E9">
        <w:rPr>
          <w:rStyle w:val="eop"/>
          <w:color w:val="000000"/>
        </w:rPr>
        <w:t> </w:t>
      </w:r>
    </w:p>
    <w:p w14:paraId="4382E08E"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and private educational institutions </w:t>
      </w:r>
      <w:r w:rsidRPr="00D553E9">
        <w:rPr>
          <w:rStyle w:val="eop"/>
          <w:color w:val="000000"/>
        </w:rPr>
        <w:t> </w:t>
      </w:r>
    </w:p>
    <w:p w14:paraId="0EED7D3B"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For-profit organizations</w:t>
      </w:r>
      <w:r w:rsidRPr="00D553E9">
        <w:rPr>
          <w:rStyle w:val="eop"/>
          <w:color w:val="000000"/>
        </w:rPr>
        <w:t> </w:t>
      </w:r>
    </w:p>
    <w:p w14:paraId="47EA0B8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Federally funded research and development centers  </w:t>
      </w:r>
      <w:r w:rsidRPr="00D553E9">
        <w:rPr>
          <w:rStyle w:val="eop"/>
          <w:color w:val="000000"/>
        </w:rPr>
        <w:t> </w:t>
      </w:r>
    </w:p>
    <w:p w14:paraId="78C87A9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International Organizations </w:t>
      </w:r>
      <w:r w:rsidRPr="00D553E9">
        <w:rPr>
          <w:rStyle w:val="eop"/>
          <w:color w:val="000000"/>
        </w:rPr>
        <w:t> </w:t>
      </w:r>
    </w:p>
    <w:p w14:paraId="48FE8316"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Cost Sharing or Matching</w:t>
      </w:r>
    </w:p>
    <w:p w14:paraId="49E2FFBD" w14:textId="77777777" w:rsidR="008F0AB2" w:rsidRPr="00D553E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8FE25B" w14:textId="20C8C30F" w:rsidR="006B1AFD" w:rsidRPr="00D553E9" w:rsidRDefault="00D5565F"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Style w:val="normaltextrun"/>
          <w:rFonts w:ascii="Times New Roman" w:hAnsi="Times New Roman" w:cs="Times New Roman"/>
          <w:color w:val="000000"/>
          <w:sz w:val="24"/>
          <w:szCs w:val="24"/>
          <w:shd w:val="clear" w:color="auto" w:fill="FFFFFF"/>
        </w:rPr>
        <w:t>Providing cost sharing, matching, or cost participation is not an eligibility factor or requirement for this NOFO and providing cost share will not result in a more favorable competitive ranking. </w:t>
      </w:r>
      <w:r w:rsidRPr="00D553E9">
        <w:rPr>
          <w:rStyle w:val="eop"/>
          <w:rFonts w:ascii="Times New Roman" w:hAnsi="Times New Roman" w:cs="Times New Roman"/>
          <w:color w:val="000000"/>
          <w:sz w:val="24"/>
          <w:szCs w:val="24"/>
          <w:shd w:val="clear" w:color="auto" w:fill="FFFFFF"/>
        </w:rPr>
        <w:t> </w:t>
      </w:r>
    </w:p>
    <w:p w14:paraId="37EBBE29"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Other Eligibility Requirements</w:t>
      </w:r>
    </w:p>
    <w:p w14:paraId="77F37409"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52F39F8B" w:rsidR="00636849" w:rsidRPr="00D553E9" w:rsidRDefault="00636849" w:rsidP="00636849">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In order to be eligible to receive an award, all organizations must have a Unique Entity Identifier (UEI) number issued via </w:t>
      </w:r>
      <w:hyperlink r:id="rId10" w:history="1">
        <w:r w:rsidRPr="00D553E9">
          <w:rPr>
            <w:rStyle w:val="Hyperlink"/>
            <w:rFonts w:ascii="Times New Roman" w:eastAsia="Times New Roman" w:hAnsi="Times New Roman" w:cs="Times New Roman"/>
            <w:sz w:val="24"/>
            <w:szCs w:val="24"/>
          </w:rPr>
          <w:t>www.SAM.gov</w:t>
        </w:r>
      </w:hyperlink>
      <w:r w:rsidRPr="00D553E9">
        <w:rPr>
          <w:rFonts w:ascii="Times New Roman" w:eastAsia="Times New Roman" w:hAnsi="Times New Roman" w:cs="Times New Roman"/>
          <w:sz w:val="24"/>
          <w:szCs w:val="24"/>
        </w:rPr>
        <w:t xml:space="preserve"> as well as a valid registration on www.SAM.gov. Please see Section D.3 for more information. </w:t>
      </w:r>
    </w:p>
    <w:p w14:paraId="05A6301B" w14:textId="77777777"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53903A26" w14:textId="4A3AAE40"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iCs/>
          <w:sz w:val="24"/>
          <w:szCs w:val="24"/>
        </w:rPr>
      </w:pPr>
      <w:r w:rsidRPr="00D553E9">
        <w:rPr>
          <w:rFonts w:ascii="Times New Roman" w:eastAsia="Times New Roman" w:hAnsi="Times New Roman" w:cs="Times New Roman"/>
          <w:iCs/>
          <w:sz w:val="24"/>
          <w:szCs w:val="24"/>
        </w:rPr>
        <w:t>Applicants are only allowed to submit one proposal</w:t>
      </w:r>
      <w:r w:rsidR="000561C6" w:rsidRPr="00D553E9">
        <w:rPr>
          <w:rFonts w:ascii="Times New Roman" w:eastAsia="Times New Roman" w:hAnsi="Times New Roman" w:cs="Times New Roman"/>
          <w:iCs/>
          <w:sz w:val="24"/>
          <w:szCs w:val="24"/>
        </w:rPr>
        <w:t xml:space="preserve"> package</w:t>
      </w:r>
      <w:r w:rsidRPr="00D553E9">
        <w:rPr>
          <w:rFonts w:ascii="Times New Roman" w:eastAsia="Times New Roman" w:hAnsi="Times New Roman" w:cs="Times New Roman"/>
          <w:iCs/>
          <w:sz w:val="24"/>
          <w:szCs w:val="24"/>
        </w:rPr>
        <w:t xml:space="preserve"> per organization. If more than one proposal is submitted from an organization, all proposals from that institution will be considered ineligible for funding.</w:t>
      </w:r>
    </w:p>
    <w:p w14:paraId="5F13A270"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D553E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D</w:t>
      </w:r>
      <w:r w:rsidR="00B61396" w:rsidRPr="00D553E9">
        <w:rPr>
          <w:rFonts w:ascii="Times New Roman" w:eastAsia="Times New Roman" w:hAnsi="Times New Roman" w:cs="Times New Roman"/>
          <w:b/>
          <w:bCs/>
          <w:sz w:val="24"/>
          <w:szCs w:val="24"/>
          <w:bdr w:val="none" w:sz="0" w:space="0" w:color="auto" w:frame="1"/>
        </w:rPr>
        <w:t xml:space="preserve">. APPLICATION </w:t>
      </w:r>
      <w:r w:rsidRPr="00D553E9">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D553E9"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D553E9" w:rsidRDefault="003F3266" w:rsidP="00202D1D">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Address to Request Application Package</w:t>
      </w:r>
    </w:p>
    <w:p w14:paraId="0CBC9E4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6B7D890F"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sz w:val="24"/>
          <w:szCs w:val="24"/>
        </w:rPr>
        <w:t>Application forms required below are available at</w:t>
      </w:r>
      <w:r w:rsidR="00175026" w:rsidRPr="00D553E9">
        <w:rPr>
          <w:rFonts w:ascii="Times New Roman" w:eastAsia="Times New Roman" w:hAnsi="Times New Roman" w:cs="Times New Roman"/>
          <w:sz w:val="24"/>
          <w:szCs w:val="24"/>
        </w:rPr>
        <w:t xml:space="preserve"> grants.gov</w:t>
      </w:r>
    </w:p>
    <w:p w14:paraId="656B90B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DB3043B" w14:textId="1DAEF594" w:rsidR="003F3266" w:rsidRPr="00D553E9" w:rsidRDefault="003F3266" w:rsidP="00202D1D">
      <w:pPr>
        <w:pStyle w:val="ListParagraph"/>
        <w:numPr>
          <w:ilvl w:val="0"/>
          <w:numId w:val="1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Content and Form of Application Submission</w:t>
      </w:r>
      <w:r w:rsidR="00175026" w:rsidRPr="00D553E9">
        <w:rPr>
          <w:rFonts w:ascii="Times New Roman" w:eastAsia="Times New Roman" w:hAnsi="Times New Roman" w:cs="Times New Roman"/>
          <w:sz w:val="24"/>
          <w:szCs w:val="24"/>
        </w:rPr>
        <w:t xml:space="preserve"> </w:t>
      </w:r>
    </w:p>
    <w:p w14:paraId="0B400488" w14:textId="257C1A29"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u w:val="single"/>
        </w:rPr>
        <w:t>Please follow all instructions below</w:t>
      </w:r>
      <w:r w:rsidRPr="00D553E9">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B75719F" w14:textId="77777777" w:rsidR="003F3266" w:rsidRPr="00D553E9" w:rsidRDefault="003F3266"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587A03C"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D553E9">
        <w:rPr>
          <w:rFonts w:ascii="Times New Roman" w:eastAsia="Times New Roman" w:hAnsi="Times New Roman" w:cs="Times New Roman"/>
          <w:b/>
          <w:bCs/>
          <w:sz w:val="24"/>
          <w:szCs w:val="24"/>
        </w:rPr>
        <w:t>Content of Application</w:t>
      </w:r>
    </w:p>
    <w:p w14:paraId="5C5AF0D5"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Please ensure:</w:t>
      </w:r>
    </w:p>
    <w:p w14:paraId="38327A09"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The proposal clearly addresses the goals and objectives of this funding opportunity</w:t>
      </w:r>
    </w:p>
    <w:p w14:paraId="03521F23"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in English</w:t>
      </w:r>
    </w:p>
    <w:p w14:paraId="7316FF36"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budgets are in U.S. dollars</w:t>
      </w:r>
    </w:p>
    <w:p w14:paraId="5BFF1C6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pages are numbered</w:t>
      </w:r>
    </w:p>
    <w:p w14:paraId="4EA64E1F"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formatted to 8 ½ x 11 paper, and</w:t>
      </w:r>
    </w:p>
    <w:p w14:paraId="4D66D13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Microsoft Word documents are single-spaced, 12 point Times New Roman font, with a minimum of 1-inch margins.</w:t>
      </w:r>
    </w:p>
    <w:p w14:paraId="2FF33A54" w14:textId="535485AC" w:rsidR="003F3266" w:rsidRPr="00D553E9" w:rsidRDefault="003F3266" w:rsidP="2E752C2E">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p>
    <w:p w14:paraId="48AA3D00" w14:textId="23B0A9F9" w:rsidR="00D21A4B" w:rsidRPr="006B2A23" w:rsidRDefault="31A2C3A4" w:rsidP="2E752C2E">
      <w:pPr>
        <w:pStyle w:val="ListParagraph"/>
        <w:numPr>
          <w:ilvl w:val="0"/>
          <w:numId w:val="3"/>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color w:val="000000" w:themeColor="text1"/>
          <w:sz w:val="24"/>
          <w:szCs w:val="24"/>
        </w:rPr>
        <w:t xml:space="preserve">The following documents are </w:t>
      </w:r>
      <w:r w:rsidRPr="2E752C2E">
        <w:rPr>
          <w:rFonts w:ascii="Times New Roman" w:eastAsia="Times New Roman" w:hAnsi="Times New Roman" w:cs="Times New Roman"/>
          <w:b/>
          <w:bCs/>
          <w:color w:val="000000" w:themeColor="text1"/>
          <w:sz w:val="24"/>
          <w:szCs w:val="24"/>
          <w:u w:val="single"/>
        </w:rPr>
        <w:t>required</w:t>
      </w:r>
      <w:r w:rsidRPr="2E752C2E">
        <w:rPr>
          <w:rFonts w:ascii="Times New Roman" w:eastAsia="Times New Roman" w:hAnsi="Times New Roman" w:cs="Times New Roman"/>
          <w:color w:val="000000" w:themeColor="text1"/>
          <w:sz w:val="24"/>
          <w:szCs w:val="24"/>
        </w:rPr>
        <w:t xml:space="preserve">:  </w:t>
      </w:r>
    </w:p>
    <w:p w14:paraId="41BAFFD8" w14:textId="6C952D19" w:rsidR="00D21A4B" w:rsidRPr="006B2A23" w:rsidRDefault="31A2C3A4" w:rsidP="2E752C2E">
      <w:p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Mandatory application forms</w:t>
      </w:r>
    </w:p>
    <w:p w14:paraId="15AB9ACA" w14:textId="6AAB7DCC"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b/>
          <w:bCs/>
          <w:color w:val="000000" w:themeColor="text1"/>
          <w:sz w:val="24"/>
          <w:szCs w:val="24"/>
        </w:rPr>
        <w:lastRenderedPageBreak/>
        <w:t xml:space="preserve">SF-424 </w:t>
      </w:r>
      <w:r w:rsidRPr="2E752C2E">
        <w:rPr>
          <w:rFonts w:ascii="Times New Roman" w:eastAsia="Times New Roman" w:hAnsi="Times New Roman" w:cs="Times New Roman"/>
          <w:b/>
          <w:bCs/>
          <w:i/>
          <w:iCs/>
          <w:color w:val="000000" w:themeColor="text1"/>
          <w:sz w:val="24"/>
          <w:szCs w:val="24"/>
        </w:rPr>
        <w:t>(Application for Federal Assistance – organizations)</w:t>
      </w:r>
      <w:r w:rsidRPr="2E752C2E">
        <w:rPr>
          <w:rFonts w:ascii="Times New Roman" w:eastAsia="Times New Roman" w:hAnsi="Times New Roman" w:cs="Times New Roman"/>
          <w:color w:val="000000" w:themeColor="text1"/>
          <w:sz w:val="24"/>
          <w:szCs w:val="24"/>
        </w:rPr>
        <w:t xml:space="preserve"> </w:t>
      </w:r>
    </w:p>
    <w:p w14:paraId="3D116821" w14:textId="1F28327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 xml:space="preserve">Project Proposal: Please follow the directions to complete the proposal template included in the application package. </w:t>
      </w:r>
    </w:p>
    <w:p w14:paraId="0436BB33" w14:textId="61A0848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Consolidated Project List</w:t>
      </w:r>
    </w:p>
    <w:p w14:paraId="21598BD8" w14:textId="1DAF8B91"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0A39C754">
        <w:rPr>
          <w:rFonts w:ascii="Times New Roman" w:eastAsia="Times New Roman" w:hAnsi="Times New Roman" w:cs="Times New Roman"/>
          <w:b/>
          <w:bCs/>
          <w:color w:val="000000" w:themeColor="text1"/>
          <w:sz w:val="24"/>
          <w:szCs w:val="24"/>
        </w:rPr>
        <w:t xml:space="preserve">Budget Detail and Summary: </w:t>
      </w:r>
      <w:r w:rsidRPr="0A39C754">
        <w:rPr>
          <w:rFonts w:ascii="Times New Roman" w:eastAsia="Times New Roman" w:hAnsi="Times New Roman" w:cs="Times New Roman"/>
          <w:color w:val="000000" w:themeColor="text1"/>
          <w:sz w:val="24"/>
          <w:szCs w:val="24"/>
        </w:rPr>
        <w:t xml:space="preserve">See section </w:t>
      </w:r>
      <w:r w:rsidRPr="0A39C754">
        <w:rPr>
          <w:rFonts w:ascii="Times New Roman" w:eastAsia="Times New Roman" w:hAnsi="Times New Roman" w:cs="Times New Roman"/>
          <w:i/>
          <w:iCs/>
          <w:color w:val="000000" w:themeColor="text1"/>
          <w:sz w:val="24"/>
          <w:szCs w:val="24"/>
        </w:rPr>
        <w:t>H. Other Information: Guidelines for Budget Submissions</w:t>
      </w:r>
      <w:r w:rsidRPr="0A39C754">
        <w:rPr>
          <w:rFonts w:ascii="Times New Roman" w:eastAsia="Times New Roman" w:hAnsi="Times New Roman" w:cs="Times New Roman"/>
          <w:color w:val="000000" w:themeColor="text1"/>
          <w:sz w:val="24"/>
          <w:szCs w:val="24"/>
        </w:rPr>
        <w:t xml:space="preserve"> below for further information.</w:t>
      </w:r>
    </w:p>
    <w:p w14:paraId="7F5A7B98" w14:textId="50C90008" w:rsidR="00D21A4B" w:rsidRPr="006B2A23" w:rsidRDefault="00D21A4B" w:rsidP="0A39C754">
      <w:pPr>
        <w:spacing w:after="0" w:line="240" w:lineRule="auto"/>
        <w:textAlignment w:val="baseline"/>
        <w:rPr>
          <w:rFonts w:ascii="Times New Roman" w:eastAsia="Times New Roman" w:hAnsi="Times New Roman" w:cs="Times New Roman"/>
          <w:color w:val="000000" w:themeColor="text1"/>
          <w:sz w:val="24"/>
          <w:szCs w:val="24"/>
        </w:rPr>
      </w:pPr>
    </w:p>
    <w:p w14:paraId="7EF9A42C" w14:textId="12AE03EC" w:rsidR="00D21A4B" w:rsidRPr="006B2A23" w:rsidRDefault="12AC6131" w:rsidP="0A39C754">
      <w:pPr>
        <w:spacing w:after="0" w:line="240" w:lineRule="auto"/>
        <w:textAlignment w:val="baseline"/>
      </w:pPr>
      <w:r w:rsidRPr="0A39C754">
        <w:rPr>
          <w:rFonts w:ascii="Times New Roman" w:eastAsia="Times New Roman" w:hAnsi="Times New Roman" w:cs="Times New Roman"/>
          <w:b/>
          <w:bCs/>
          <w:color w:val="000000" w:themeColor="text1"/>
          <w:sz w:val="24"/>
          <w:szCs w:val="24"/>
        </w:rPr>
        <w:t>Optional application forms</w:t>
      </w:r>
      <w:r w:rsidRPr="0A39C754">
        <w:rPr>
          <w:rFonts w:ascii="Times New Roman" w:eastAsia="Times New Roman" w:hAnsi="Times New Roman" w:cs="Times New Roman"/>
          <w:color w:val="000000" w:themeColor="text1"/>
          <w:sz w:val="24"/>
          <w:szCs w:val="24"/>
        </w:rPr>
        <w:t xml:space="preserve"> </w:t>
      </w:r>
    </w:p>
    <w:p w14:paraId="520F3D26" w14:textId="668B534F"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SF-424B (ASSURANCES - NON-CONSTRUCTION PROGRAMS)</w:t>
      </w:r>
    </w:p>
    <w:p w14:paraId="23BD7D63" w14:textId="7BFF11A4"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 -LLL (DISCLOSURE OF LOBBYING ACTIVITIES)</w:t>
      </w:r>
    </w:p>
    <w:p w14:paraId="045DDBD9" w14:textId="0E2C7945"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Copy of most recent approved NICRA</w:t>
      </w:r>
    </w:p>
    <w:p w14:paraId="4DC9B042" w14:textId="5687997C"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DEIA standalone document (Separate from DEIA plan information included in project proposal)</w:t>
      </w:r>
    </w:p>
    <w:p w14:paraId="2CF492A2" w14:textId="3595D7C6" w:rsidR="0A39C754" w:rsidRDefault="0A39C754" w:rsidP="0A39C754">
      <w:pPr>
        <w:rPr>
          <w:rFonts w:eastAsiaTheme="minorEastAsia"/>
          <w:b/>
          <w:bCs/>
          <w:sz w:val="24"/>
          <w:szCs w:val="24"/>
        </w:rPr>
      </w:pPr>
    </w:p>
    <w:p w14:paraId="1AAB94EA" w14:textId="0FEBA17D" w:rsidR="00D21A4B" w:rsidRPr="00D553E9" w:rsidRDefault="003F3266" w:rsidP="0730088F">
      <w:pPr>
        <w:pStyle w:val="ListParagraph"/>
        <w:numPr>
          <w:ilvl w:val="0"/>
          <w:numId w:val="3"/>
        </w:numPr>
        <w:shd w:val="clear" w:color="auto" w:fill="FFFFFF" w:themeFill="background1"/>
        <w:spacing w:after="0" w:line="240" w:lineRule="auto"/>
        <w:textAlignment w:val="baseline"/>
        <w:rPr>
          <w:rFonts w:eastAsiaTheme="minorEastAsia"/>
          <w:i/>
          <w:iCs/>
          <w:sz w:val="24"/>
          <w:szCs w:val="24"/>
        </w:rPr>
      </w:pPr>
      <w:r w:rsidRPr="0730088F">
        <w:rPr>
          <w:rFonts w:ascii="Times New Roman" w:eastAsia="Times New Roman" w:hAnsi="Times New Roman" w:cs="Times New Roman"/>
          <w:sz w:val="24"/>
          <w:szCs w:val="24"/>
        </w:rPr>
        <w:t>Unique Entity Identifier and System for Award Management (SAM.gov)</w:t>
      </w:r>
      <w:r w:rsidR="00183ED4" w:rsidRPr="0730088F">
        <w:rPr>
          <w:rFonts w:ascii="Times New Roman" w:eastAsia="Times New Roman" w:hAnsi="Times New Roman" w:cs="Times New Roman"/>
          <w:color w:val="FF0000"/>
          <w:sz w:val="24"/>
          <w:szCs w:val="24"/>
        </w:rPr>
        <w:t xml:space="preserve"> </w:t>
      </w:r>
    </w:p>
    <w:p w14:paraId="4C12325D" w14:textId="0AE97D5A" w:rsidR="19E57C76" w:rsidRPr="00D553E9" w:rsidRDefault="19E57C76" w:rsidP="19E57C76">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6C0E2DC4" w14:textId="4D8AC458"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b/>
          <w:bCs/>
          <w:sz w:val="24"/>
          <w:szCs w:val="24"/>
        </w:rPr>
        <w:t>Required Registrations:</w:t>
      </w:r>
      <w:r w:rsidR="4E0FFE63" w:rsidRPr="00D553E9">
        <w:rPr>
          <w:rStyle w:val="null1"/>
          <w:rFonts w:ascii="Times New Roman" w:hAnsi="Times New Roman" w:cs="Times New Roman"/>
          <w:b/>
          <w:bCs/>
          <w:sz w:val="24"/>
          <w:szCs w:val="24"/>
        </w:rPr>
        <w:t xml:space="preserve"> </w:t>
      </w:r>
      <w:r w:rsidR="4E0FFE63" w:rsidRPr="00D553E9">
        <w:rPr>
          <w:rStyle w:val="null1"/>
          <w:rFonts w:ascii="Times New Roman" w:hAnsi="Times New Roman" w:cs="Times New Roman"/>
          <w:sz w:val="24"/>
          <w:szCs w:val="24"/>
          <w:u w:val="single"/>
        </w:rPr>
        <w:t>Note</w:t>
      </w:r>
      <w:r w:rsidR="4E0FFE63" w:rsidRPr="00D553E9">
        <w:rPr>
          <w:rStyle w:val="null1"/>
          <w:rFonts w:ascii="Times New Roman" w:hAnsi="Times New Roman" w:cs="Times New Roman"/>
          <w:sz w:val="24"/>
          <w:szCs w:val="24"/>
        </w:rPr>
        <w:t>: As of April 2022, a DUNS number is no longer required.</w:t>
      </w:r>
    </w:p>
    <w:p w14:paraId="22EA1711"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1CF85A7E" w14:textId="77777777" w:rsidR="00A07B70" w:rsidRPr="00D553E9" w:rsidRDefault="00000000" w:rsidP="00202D1D">
      <w:pPr>
        <w:pStyle w:val="Default"/>
        <w:numPr>
          <w:ilvl w:val="0"/>
          <w:numId w:val="17"/>
        </w:numPr>
        <w:adjustRightInd/>
        <w:spacing w:after="9"/>
        <w:rPr>
          <w:rFonts w:eastAsia="Times New Roman"/>
        </w:rPr>
      </w:pPr>
      <w:hyperlink r:id="rId11" w:history="1">
        <w:r w:rsidR="00A07B70" w:rsidRPr="00D553E9">
          <w:rPr>
            <w:rStyle w:val="Hyperlink"/>
            <w:rFonts w:eastAsia="Times New Roman"/>
          </w:rPr>
          <w:t>www.SAM.gov</w:t>
        </w:r>
      </w:hyperlink>
      <w:r w:rsidR="00A07B70" w:rsidRPr="00D553E9">
        <w:rPr>
          <w:rFonts w:eastAsia="Times New Roman"/>
        </w:rPr>
        <w:t xml:space="preserve"> registration which will generate a UEI</w:t>
      </w:r>
    </w:p>
    <w:p w14:paraId="7EB45089" w14:textId="77777777" w:rsidR="00A07B70" w:rsidRPr="00D553E9" w:rsidRDefault="00A07B70" w:rsidP="00202D1D">
      <w:pPr>
        <w:pStyle w:val="Default"/>
        <w:numPr>
          <w:ilvl w:val="0"/>
          <w:numId w:val="17"/>
        </w:numPr>
        <w:adjustRightInd/>
        <w:spacing w:after="9"/>
        <w:rPr>
          <w:rFonts w:eastAsia="Times New Roman"/>
        </w:rPr>
      </w:pPr>
      <w:r w:rsidRPr="00D553E9">
        <w:rPr>
          <w:rFonts w:eastAsia="Times New Roman"/>
        </w:rPr>
        <w:t xml:space="preserve">NCAGE/CAGE code </w:t>
      </w:r>
    </w:p>
    <w:p w14:paraId="6682A3E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D553E9" w:rsidRDefault="00A07B70" w:rsidP="00A07B70">
      <w:pPr>
        <w:pStyle w:val="null"/>
        <w:spacing w:before="0" w:beforeAutospacing="0" w:after="0" w:afterAutospacing="0"/>
        <w:jc w:val="both"/>
        <w:rPr>
          <w:rStyle w:val="null1"/>
          <w:rFonts w:ascii="Times New Roman" w:hAnsi="Times New Roman" w:cs="Times New Roman"/>
          <w:b/>
          <w:bCs/>
          <w:sz w:val="24"/>
          <w:szCs w:val="24"/>
        </w:rPr>
      </w:pPr>
      <w:r w:rsidRPr="00D553E9">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A25F7C"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E39F4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2"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To access SAM.gov an organization is required to have a Login.gov account. Organization can create an account at </w:t>
      </w:r>
      <w:hyperlink r:id="rId13" w:history="1">
        <w:r w:rsidRPr="00D553E9">
          <w:rPr>
            <w:rStyle w:val="Hyperlink"/>
            <w:rFonts w:ascii="Times New Roman" w:hAnsi="Times New Roman" w:cs="Times New Roman"/>
            <w:sz w:val="24"/>
            <w:szCs w:val="24"/>
          </w:rPr>
          <w:t>https://login.gov/</w:t>
        </w:r>
      </w:hyperlink>
      <w:r w:rsidRPr="00D553E9">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053EB31F" w14:textId="6725839C"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u w:val="single"/>
        </w:rPr>
        <w:t>US-based organizations</w:t>
      </w:r>
      <w:r w:rsidRPr="00D553E9">
        <w:rPr>
          <w:rStyle w:val="null1"/>
          <w:rFonts w:ascii="Times New Roman" w:hAnsi="Times New Roman" w:cs="Times New Roman"/>
          <w:sz w:val="24"/>
          <w:szCs w:val="24"/>
        </w:rPr>
        <w:t xml:space="preserve">: A CAGE code will be automatically assigned when the U.S. organizations registers in </w:t>
      </w:r>
      <w:hyperlink r:id="rId14"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CAGE must be renewed every 5 years.  Site for CAGE: </w:t>
      </w:r>
      <w:hyperlink r:id="rId15" w:anchor="_blank" w:history="1">
        <w:r w:rsidRPr="00D553E9">
          <w:rPr>
            <w:rStyle w:val="Hyperlink"/>
            <w:rFonts w:ascii="Times New Roman" w:hAnsi="Times New Roman" w:cs="Times New Roman"/>
            <w:sz w:val="24"/>
            <w:szCs w:val="24"/>
          </w:rPr>
          <w:t>https://cage.dla.mil/Home/UsageAgree</w:t>
        </w:r>
      </w:hyperlink>
      <w:r w:rsidRPr="00D553E9">
        <w:rPr>
          <w:rStyle w:val="null1"/>
          <w:rFonts w:ascii="Times New Roman" w:hAnsi="Times New Roman" w:cs="Times New Roman"/>
          <w:sz w:val="24"/>
          <w:szCs w:val="24"/>
        </w:rPr>
        <w:t>. Grantees may be asked for more information to finalized and must comply.</w:t>
      </w:r>
    </w:p>
    <w:p w14:paraId="516A5B17"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78356F59" w14:textId="344DF78A" w:rsidR="00A07B70" w:rsidRPr="00D553E9" w:rsidRDefault="00301D46" w:rsidP="00A07B70">
      <w:pPr>
        <w:pStyle w:val="null"/>
        <w:spacing w:before="0" w:beforeAutospacing="0" w:after="0" w:afterAutospacing="0"/>
        <w:rPr>
          <w:rFonts w:ascii="Times New Roman" w:hAnsi="Times New Roman" w:cs="Times New Roman"/>
          <w:strike/>
          <w:sz w:val="24"/>
          <w:szCs w:val="24"/>
        </w:rPr>
      </w:pPr>
      <w:r w:rsidRPr="00D553E9">
        <w:rPr>
          <w:rStyle w:val="null1"/>
          <w:rFonts w:ascii="Times New Roman" w:hAnsi="Times New Roman" w:cs="Times New Roman"/>
          <w:sz w:val="24"/>
          <w:szCs w:val="24"/>
          <w:u w:val="single"/>
        </w:rPr>
        <w:lastRenderedPageBreak/>
        <w:t>Non</w:t>
      </w:r>
      <w:r w:rsidR="50C2AFA2" w:rsidRPr="00D553E9">
        <w:rPr>
          <w:rStyle w:val="null1"/>
          <w:rFonts w:ascii="Times New Roman" w:hAnsi="Times New Roman" w:cs="Times New Roman"/>
          <w:sz w:val="24"/>
          <w:szCs w:val="24"/>
          <w:u w:val="single"/>
        </w:rPr>
        <w:t xml:space="preserve"> </w:t>
      </w:r>
      <w:r w:rsidRPr="00D553E9">
        <w:rPr>
          <w:rStyle w:val="null1"/>
          <w:rFonts w:ascii="Times New Roman" w:hAnsi="Times New Roman" w:cs="Times New Roman"/>
          <w:sz w:val="24"/>
          <w:szCs w:val="24"/>
          <w:u w:val="single"/>
        </w:rPr>
        <w:t xml:space="preserve">-US </w:t>
      </w:r>
      <w:r w:rsidR="00A07B70" w:rsidRPr="00D553E9">
        <w:rPr>
          <w:rStyle w:val="null1"/>
          <w:rFonts w:ascii="Times New Roman" w:hAnsi="Times New Roman" w:cs="Times New Roman"/>
          <w:sz w:val="24"/>
          <w:szCs w:val="24"/>
          <w:u w:val="single"/>
        </w:rPr>
        <w:t>based organizations</w:t>
      </w:r>
      <w:r w:rsidR="00A07B70" w:rsidRPr="00D553E9">
        <w:rPr>
          <w:rStyle w:val="null1"/>
          <w:rFonts w:ascii="Times New Roman" w:hAnsi="Times New Roman" w:cs="Times New Roman"/>
          <w:sz w:val="24"/>
          <w:szCs w:val="24"/>
        </w:rPr>
        <w:t xml:space="preserve">: Must apply for a NCAGE code before registering in SAM.gov. Go to: </w:t>
      </w:r>
      <w:hyperlink r:id="rId16" w:anchor="_blank">
        <w:r w:rsidR="00A07B70" w:rsidRPr="00D553E9">
          <w:rPr>
            <w:rStyle w:val="Hyperlink"/>
            <w:rFonts w:ascii="Times New Roman" w:hAnsi="Times New Roman" w:cs="Times New Roman"/>
            <w:color w:val="0000FF"/>
            <w:sz w:val="24"/>
            <w:szCs w:val="24"/>
          </w:rPr>
          <w:t>https://eportal.nspa.nato.int/AC135Public/CageTool/home</w:t>
        </w:r>
      </w:hyperlink>
      <w:r w:rsidR="00A07B70" w:rsidRPr="00D553E9">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005855C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D553E9">
        <w:rPr>
          <w:rStyle w:val="null1"/>
          <w:rFonts w:ascii="Times New Roman" w:hAnsi="Times New Roman" w:cs="Times New Roman"/>
          <w:b/>
          <w:bCs/>
          <w:sz w:val="24"/>
          <w:szCs w:val="24"/>
        </w:rPr>
        <w:t>prior</w:t>
      </w:r>
      <w:r w:rsidRPr="00D553E9">
        <w:rPr>
          <w:rStyle w:val="null1"/>
          <w:rFonts w:ascii="Times New Roman" w:hAnsi="Times New Roman" w:cs="Times New Roman"/>
          <w:sz w:val="24"/>
          <w:szCs w:val="24"/>
        </w:rPr>
        <w:t xml:space="preserve"> to registering or renewing </w:t>
      </w:r>
      <w:hyperlink r:id="rId17" w:anchor="_blank" w:history="1">
        <w:r w:rsidRPr="00D553E9">
          <w:rPr>
            <w:rStyle w:val="Hyperlink"/>
            <w:rFonts w:ascii="Times New Roman" w:hAnsi="Times New Roman" w:cs="Times New Roman"/>
            <w:color w:val="0000FF"/>
            <w:sz w:val="24"/>
            <w:szCs w:val="24"/>
          </w:rPr>
          <w:t>www.sam.gov</w:t>
        </w:r>
      </w:hyperlink>
      <w:r w:rsidRPr="00D553E9">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501D98AB" w14:textId="77777777" w:rsidR="00A07B70" w:rsidRPr="00D553E9" w:rsidRDefault="00000000" w:rsidP="00A07B70">
      <w:pPr>
        <w:pStyle w:val="null"/>
        <w:spacing w:before="0" w:beforeAutospacing="0" w:after="0" w:afterAutospacing="0"/>
        <w:rPr>
          <w:rStyle w:val="null1"/>
          <w:rFonts w:ascii="Times New Roman" w:hAnsi="Times New Roman" w:cs="Times New Roman"/>
          <w:sz w:val="24"/>
          <w:szCs w:val="24"/>
        </w:rPr>
      </w:pPr>
      <w:hyperlink r:id="rId18" w:anchor="_blank" w:history="1">
        <w:r w:rsidR="00A07B70" w:rsidRPr="00D553E9">
          <w:rPr>
            <w:rStyle w:val="Hyperlink"/>
            <w:rFonts w:ascii="Times New Roman" w:hAnsi="Times New Roman" w:cs="Times New Roman"/>
            <w:sz w:val="24"/>
            <w:szCs w:val="24"/>
          </w:rPr>
          <w:t>www.sam.gov</w:t>
        </w:r>
      </w:hyperlink>
      <w:r w:rsidR="00A07B70" w:rsidRPr="00D553E9">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1A76C6B8"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59B23837"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20639631" w14:textId="46861161" w:rsidR="00183ED4" w:rsidRPr="00D553E9" w:rsidRDefault="00A07B70" w:rsidP="19E57C76">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If an organization does not have an active registration in SAM.gov prior to submitting an application, the application will be deemed </w:t>
      </w:r>
      <w:r w:rsidRPr="00D553E9">
        <w:rPr>
          <w:rStyle w:val="null1"/>
          <w:rFonts w:ascii="Times New Roman" w:hAnsi="Times New Roman" w:cs="Times New Roman"/>
          <w:b/>
          <w:bCs/>
          <w:sz w:val="24"/>
          <w:szCs w:val="24"/>
        </w:rPr>
        <w:t>ineligible.</w:t>
      </w:r>
      <w:r w:rsidRPr="00D553E9">
        <w:rPr>
          <w:rStyle w:val="null1"/>
          <w:rFonts w:ascii="Times New Roman" w:hAnsi="Times New Roman" w:cs="Times New Roman"/>
          <w:sz w:val="24"/>
          <w:szCs w:val="24"/>
        </w:rPr>
        <w:t>  All organizations applying for grants (except individuals) must obtain these registrations, the latter are free of charge.</w:t>
      </w:r>
    </w:p>
    <w:p w14:paraId="2785A3E1" w14:textId="77777777" w:rsidR="00183ED4" w:rsidRPr="00D553E9" w:rsidRDefault="00183ED4" w:rsidP="00FD0E36">
      <w:pPr>
        <w:pStyle w:val="Default"/>
      </w:pPr>
    </w:p>
    <w:p w14:paraId="4CECAC8E"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Submission Dates and Times</w:t>
      </w:r>
    </w:p>
    <w:p w14:paraId="2EA497CF" w14:textId="77777777" w:rsidR="003F3266" w:rsidRPr="00D553E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44015F97" w:rsidR="00406653" w:rsidRPr="00D553E9" w:rsidRDefault="006B676B" w:rsidP="4F7384F7">
      <w:pPr>
        <w:shd w:val="clear" w:color="auto" w:fill="FFFFFF" w:themeFill="background1"/>
        <w:spacing w:after="0" w:line="240" w:lineRule="auto"/>
        <w:textAlignment w:val="baseline"/>
        <w:rPr>
          <w:rFonts w:ascii="Times New Roman" w:hAnsi="Times New Roman" w:cs="Times New Roman"/>
          <w:color w:val="000000" w:themeColor="text1"/>
          <w:sz w:val="24"/>
          <w:szCs w:val="24"/>
        </w:rPr>
      </w:pPr>
      <w:r w:rsidRPr="00D553E9">
        <w:rPr>
          <w:rFonts w:ascii="Times New Roman" w:eastAsia="Times New Roman" w:hAnsi="Times New Roman" w:cs="Times New Roman"/>
          <w:sz w:val="24"/>
          <w:szCs w:val="24"/>
        </w:rPr>
        <w:t>Applications are due no later than</w:t>
      </w:r>
      <w:r w:rsidR="51C26ACA" w:rsidRPr="00D553E9">
        <w:rPr>
          <w:rFonts w:ascii="Times New Roman" w:eastAsia="Times New Roman" w:hAnsi="Times New Roman" w:cs="Times New Roman"/>
          <w:sz w:val="24"/>
          <w:szCs w:val="24"/>
        </w:rPr>
        <w:t xml:space="preserve">: </w:t>
      </w:r>
      <w:r w:rsidR="51C26ACA" w:rsidRPr="00D553E9">
        <w:rPr>
          <w:rStyle w:val="normaltextrun"/>
          <w:rFonts w:ascii="Times New Roman" w:hAnsi="Times New Roman" w:cs="Times New Roman"/>
          <w:b/>
          <w:bCs/>
          <w:color w:val="000000" w:themeColor="text1"/>
          <w:sz w:val="24"/>
          <w:szCs w:val="24"/>
        </w:rPr>
        <w:t>January 31, 2023, 11:59PM EST </w:t>
      </w:r>
      <w:r w:rsidR="51C26ACA" w:rsidRPr="00D553E9">
        <w:rPr>
          <w:rStyle w:val="eop"/>
          <w:rFonts w:ascii="Times New Roman" w:hAnsi="Times New Roman" w:cs="Times New Roman"/>
          <w:color w:val="000000" w:themeColor="text1"/>
          <w:sz w:val="24"/>
          <w:szCs w:val="24"/>
        </w:rPr>
        <w:t> </w:t>
      </w:r>
    </w:p>
    <w:p w14:paraId="43FF9AA8" w14:textId="77777777" w:rsidR="008F0AB2" w:rsidRPr="00D553E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Funding Restrictions</w:t>
      </w:r>
    </w:p>
    <w:p w14:paraId="16F44CB7" w14:textId="69AF5D7D" w:rsidR="008F0AB2" w:rsidRPr="00D553E9" w:rsidRDefault="008F0AB2" w:rsidP="5003B57C">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4419287" w14:textId="1985C498" w:rsidR="5003B57C" w:rsidRPr="00D553E9" w:rsidRDefault="76A8CAD8" w:rsidP="6AC85BB4">
      <w:pPr>
        <w:spacing w:after="0" w:line="240" w:lineRule="auto"/>
      </w:pPr>
      <w:r w:rsidRPr="6AC85BB4">
        <w:rPr>
          <w:rFonts w:ascii="Times New Roman" w:eastAsia="Times New Roman" w:hAnsi="Times New Roman" w:cs="Times New Roman"/>
          <w:color w:val="000000" w:themeColor="text1"/>
          <w:sz w:val="24"/>
          <w:szCs w:val="24"/>
        </w:rPr>
        <w:t xml:space="preserve">Of note, legal restrictions prevent ISN/CTR from providing assistance to Burma, China, Cuba, Iran, North Korea, South Sudan, Sudan, and Syria.   </w:t>
      </w:r>
    </w:p>
    <w:p w14:paraId="352FBFDA"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Other Submission Requirements</w:t>
      </w:r>
    </w:p>
    <w:p w14:paraId="03DFF0F4" w14:textId="77777777" w:rsidR="003F3266" w:rsidRPr="00D553E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DEB4AB9" w14:textId="1EB7453A" w:rsidR="701FA557" w:rsidRDefault="701FA557" w:rsidP="19E57C76">
      <w:pPr>
        <w:shd w:val="clear" w:color="auto" w:fill="FFFFFF" w:themeFill="background1"/>
        <w:spacing w:after="0" w:line="240" w:lineRule="auto"/>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With the exception of FFRDCs, a</w:t>
      </w:r>
      <w:r w:rsidR="00384B69" w:rsidRPr="00D553E9">
        <w:rPr>
          <w:rFonts w:ascii="Times New Roman" w:eastAsia="Times New Roman" w:hAnsi="Times New Roman" w:cs="Times New Roman"/>
          <w:sz w:val="24"/>
          <w:szCs w:val="24"/>
        </w:rPr>
        <w:t xml:space="preserve">ll application materials must be submitted electronically through </w:t>
      </w:r>
      <w:hyperlink r:id="rId19">
        <w:r w:rsidR="00384B69" w:rsidRPr="00D553E9">
          <w:rPr>
            <w:rStyle w:val="Hyperlink"/>
            <w:rFonts w:ascii="Times New Roman" w:eastAsia="Times New Roman" w:hAnsi="Times New Roman" w:cs="Times New Roman"/>
            <w:sz w:val="24"/>
            <w:szCs w:val="24"/>
          </w:rPr>
          <w:t>www.Grants.gov</w:t>
        </w:r>
      </w:hyperlink>
      <w:r w:rsidR="3D88756E" w:rsidRPr="00D553E9">
        <w:rPr>
          <w:rFonts w:ascii="Times New Roman" w:eastAsia="Times New Roman" w:hAnsi="Times New Roman" w:cs="Times New Roman"/>
          <w:sz w:val="24"/>
          <w:szCs w:val="24"/>
        </w:rPr>
        <w:t xml:space="preserve">. </w:t>
      </w:r>
    </w:p>
    <w:p w14:paraId="3BDC8A8B" w14:textId="77777777" w:rsidR="00A86A1B" w:rsidRDefault="00A86A1B" w:rsidP="19E57C76">
      <w:pPr>
        <w:shd w:val="clear" w:color="auto" w:fill="FFFFFF" w:themeFill="background1"/>
        <w:spacing w:after="0" w:line="240" w:lineRule="auto"/>
        <w:rPr>
          <w:rFonts w:ascii="Times New Roman" w:eastAsia="Times New Roman" w:hAnsi="Times New Roman" w:cs="Times New Roman"/>
          <w:sz w:val="24"/>
          <w:szCs w:val="24"/>
        </w:rPr>
      </w:pPr>
    </w:p>
    <w:p w14:paraId="1D8DD642" w14:textId="07AFC0B4" w:rsidR="00A86A1B" w:rsidRPr="00A86A1B" w:rsidRDefault="00A86A1B" w:rsidP="00A86A1B">
      <w:pP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FFRDCs ONLY,</w:t>
      </w:r>
      <w:r w:rsidRPr="00D553E9">
        <w:rPr>
          <w:rFonts w:ascii="Times New Roman" w:eastAsia="Times New Roman" w:hAnsi="Times New Roman" w:cs="Times New Roman"/>
          <w:color w:val="000000" w:themeColor="text1"/>
          <w:sz w:val="24"/>
          <w:szCs w:val="24"/>
        </w:rPr>
        <w:t xml:space="preserve"> directly submit application to the relevant program team and copy the budget team: </w:t>
      </w:r>
      <w:hyperlink r:id="rId20">
        <w:r w:rsidRPr="00D553E9">
          <w:rPr>
            <w:rStyle w:val="Hyperlink"/>
            <w:rFonts w:ascii="Times New Roman" w:eastAsia="Times New Roman" w:hAnsi="Times New Roman" w:cs="Times New Roman"/>
            <w:sz w:val="24"/>
            <w:szCs w:val="24"/>
          </w:rPr>
          <w:t>ISN-CTR-BUDGET@state.gov</w:t>
        </w:r>
      </w:hyperlink>
    </w:p>
    <w:p w14:paraId="0AB813E9"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E</w:t>
      </w:r>
      <w:r w:rsidR="00B61396" w:rsidRPr="00D553E9">
        <w:rPr>
          <w:rFonts w:ascii="Times New Roman" w:eastAsia="Times New Roman" w:hAnsi="Times New Roman" w:cs="Times New Roman"/>
          <w:b/>
          <w:bCs/>
          <w:sz w:val="24"/>
          <w:szCs w:val="24"/>
          <w:bdr w:val="none" w:sz="0" w:space="0" w:color="auto" w:frame="1"/>
        </w:rPr>
        <w:t xml:space="preserve">. </w:t>
      </w:r>
      <w:r w:rsidR="00FD0E36" w:rsidRPr="00D553E9">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D553E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D553E9" w:rsidRDefault="00FD0E36" w:rsidP="00202D1D">
      <w:pPr>
        <w:pStyle w:val="ListParagraph"/>
        <w:numPr>
          <w:ilvl w:val="0"/>
          <w:numId w:val="14"/>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Criteria</w:t>
      </w:r>
    </w:p>
    <w:p w14:paraId="0341C63B" w14:textId="7EB38911" w:rsidR="43BFF2B9" w:rsidRPr="00D553E9" w:rsidRDefault="43BFF2B9" w:rsidP="43BFF2B9">
      <w:pPr>
        <w:spacing w:after="0" w:line="240" w:lineRule="auto"/>
        <w:rPr>
          <w:rFonts w:ascii="Times New Roman" w:hAnsi="Times New Roman" w:cs="Times New Roman"/>
          <w:sz w:val="24"/>
          <w:szCs w:val="24"/>
        </w:rPr>
      </w:pPr>
    </w:p>
    <w:p w14:paraId="270FEEC6" w14:textId="7402D4CD"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29180F8B" w14:textId="7876675E"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lastRenderedPageBreak/>
        <w:t>ISN/CTR will evaluate proposals against the stated criteria. Criteria are listed in descending order of importance.</w:t>
      </w:r>
    </w:p>
    <w:p w14:paraId="266A9A43" w14:textId="7C29D30D"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5AE333D3" w14:textId="141CDE93"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Proposed Activity or Activities: </w:t>
      </w:r>
      <w:r w:rsidRPr="00D553E9">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p>
    <w:p w14:paraId="3C9F662A" w14:textId="00F5134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1B17207D" w14:textId="61193CBA"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Organizational Capability: </w:t>
      </w:r>
      <w:r w:rsidRPr="00D553E9">
        <w:rPr>
          <w:rFonts w:eastAsia="Times New Roman"/>
          <w:color w:val="000000" w:themeColor="text1"/>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14:paraId="0920D67E" w14:textId="7352B609"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0745C903" w14:textId="0ABCDBE9"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t xml:space="preserve">Budget: </w:t>
      </w:r>
      <w:r w:rsidRPr="00D553E9">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14:paraId="0D35DB78" w14:textId="5E55481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478CD904" w14:textId="7349B13F"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t xml:space="preserve">Impactful and Measurable Engagements: </w:t>
      </w:r>
      <w:r w:rsidRPr="00D553E9">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p>
    <w:p w14:paraId="07BEF8CB" w14:textId="39485378"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234F9CAD" w14:textId="0D679811" w:rsidR="60112272" w:rsidRPr="00C570B2" w:rsidRDefault="461EEA0D" w:rsidP="00C0002A">
      <w:pPr>
        <w:pStyle w:val="ListParagraph"/>
        <w:numPr>
          <w:ilvl w:val="0"/>
          <w:numId w:val="23"/>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Diversity and Inclusion:</w:t>
      </w:r>
      <w:r w:rsidRPr="00D553E9">
        <w:rPr>
          <w:rFonts w:ascii="Times New Roman" w:eastAsia="Times New Roman" w:hAnsi="Times New Roman" w:cs="Times New Roman"/>
          <w:color w:val="000000" w:themeColor="text1"/>
          <w:sz w:val="24"/>
          <w:szCs w:val="24"/>
        </w:rPr>
        <w:t xml:space="preserve"> </w:t>
      </w:r>
      <w:r w:rsidR="001E271B"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w:t>
      </w:r>
      <w:r w:rsidR="008C78B8"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CTR’s diversity, equity, inclusion, and accessibility (DEIA) objectives through their programming. </w:t>
      </w:r>
      <w:r w:rsidRPr="60112272">
        <w:rPr>
          <w:rFonts w:ascii="Times New Roman" w:eastAsia="Times New Roman" w:hAnsi="Times New Roman" w:cs="Times New Roman"/>
          <w:color w:val="000000" w:themeColor="text1"/>
          <w:sz w:val="24"/>
          <w:szCs w:val="24"/>
        </w:rPr>
        <w:t>Submitted plans will be evaluated separate to the overall evaluation of projects</w:t>
      </w:r>
      <w:r w:rsidR="00FF0331">
        <w:rPr>
          <w:rFonts w:ascii="Times New Roman" w:eastAsia="Times New Roman" w:hAnsi="Times New Roman" w:cs="Times New Roman"/>
          <w:color w:val="000000" w:themeColor="text1"/>
          <w:sz w:val="24"/>
          <w:szCs w:val="24"/>
        </w:rPr>
        <w:t xml:space="preserve"> and </w:t>
      </w:r>
    </w:p>
    <w:p w14:paraId="3D23B4F9" w14:textId="77777777" w:rsidR="00C0002A" w:rsidRPr="00C0002A" w:rsidRDefault="00C0002A" w:rsidP="00C0002A">
      <w:pPr>
        <w:spacing w:after="0" w:line="240" w:lineRule="auto"/>
        <w:rPr>
          <w:rFonts w:ascii="Times New Roman" w:eastAsiaTheme="minorEastAsia" w:hAnsi="Times New Roman" w:cs="Times New Roman"/>
          <w:color w:val="000000" w:themeColor="text1"/>
          <w:sz w:val="24"/>
          <w:szCs w:val="24"/>
        </w:rPr>
      </w:pPr>
    </w:p>
    <w:p w14:paraId="662D4787" w14:textId="21528F1D" w:rsidR="461EEA0D" w:rsidRPr="00D553E9" w:rsidRDefault="461EEA0D" w:rsidP="00C0002A">
      <w:pPr>
        <w:pStyle w:val="ListParagraph"/>
        <w:numPr>
          <w:ilvl w:val="0"/>
          <w:numId w:val="24"/>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 xml:space="preserve">Cyber Security: </w:t>
      </w:r>
      <w:r w:rsidRPr="00D553E9">
        <w:rPr>
          <w:rFonts w:ascii="Times New Roman" w:eastAsia="Times New Roman" w:hAnsi="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14:paraId="5D418145" w14:textId="4664851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lastRenderedPageBreak/>
        <w:t>Identification and Authentication:  Implement multifactor authentication for network access and local access.</w:t>
      </w:r>
    </w:p>
    <w:p w14:paraId="08F82161" w14:textId="6BEA61C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Access Controls:  Implement security controls for information sharing, remote access and wireless access including:</w:t>
      </w:r>
    </w:p>
    <w:p w14:paraId="43A5A5FB" w14:textId="67EBD7E8" w:rsidR="461EEA0D" w:rsidRPr="00D553E9" w:rsidRDefault="461EEA0D" w:rsidP="00202D1D">
      <w:pPr>
        <w:pStyle w:val="ListParagraph"/>
        <w:numPr>
          <w:ilvl w:val="1"/>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14:paraId="65D8069E" w14:textId="07B57575" w:rsidR="5575E5C1" w:rsidRPr="00B666D8" w:rsidRDefault="461EEA0D" w:rsidP="00B666D8">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Incident Handling:  Monitor and report any and all security incidents including breaches to ISN/CTR directly within 48 hours of the incident and include a risk assessment of the security access controls.</w:t>
      </w:r>
    </w:p>
    <w:p w14:paraId="249E7DF4" w14:textId="5FAC7B20" w:rsidR="00FD0E36" w:rsidRPr="00D553E9" w:rsidRDefault="6E8FC630" w:rsidP="36503665">
      <w:pPr>
        <w:shd w:val="clear" w:color="auto" w:fill="FFFFFF" w:themeFill="background1"/>
        <w:spacing w:after="0" w:line="240" w:lineRule="auto"/>
        <w:ind w:left="720" w:hanging="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2</w:t>
      </w:r>
      <w:r w:rsidR="00856FBB" w:rsidRPr="00D553E9">
        <w:rPr>
          <w:rFonts w:ascii="Times New Roman" w:eastAsia="Times New Roman" w:hAnsi="Times New Roman" w:cs="Times New Roman"/>
          <w:sz w:val="24"/>
          <w:szCs w:val="24"/>
        </w:rPr>
        <w:t>.</w:t>
      </w:r>
      <w:r w:rsidR="00856FBB" w:rsidRPr="00D553E9">
        <w:rPr>
          <w:rFonts w:ascii="Times New Roman" w:hAnsi="Times New Roman" w:cs="Times New Roman"/>
          <w:sz w:val="24"/>
          <w:szCs w:val="24"/>
        </w:rPr>
        <w:tab/>
      </w:r>
      <w:r w:rsidR="00FD0E36" w:rsidRPr="00D553E9">
        <w:rPr>
          <w:rFonts w:ascii="Times New Roman" w:eastAsia="Times New Roman" w:hAnsi="Times New Roman" w:cs="Times New Roman"/>
          <w:sz w:val="24"/>
          <w:szCs w:val="24"/>
        </w:rPr>
        <w:t>F</w:t>
      </w:r>
      <w:r w:rsidR="00B96D26" w:rsidRPr="00D553E9">
        <w:rPr>
          <w:rFonts w:ascii="Times New Roman" w:eastAsia="Times New Roman" w:hAnsi="Times New Roman" w:cs="Times New Roman"/>
          <w:sz w:val="24"/>
          <w:szCs w:val="24"/>
        </w:rPr>
        <w:t xml:space="preserve">ederal </w:t>
      </w:r>
      <w:r w:rsidR="00FD0E36" w:rsidRPr="00D553E9">
        <w:rPr>
          <w:rFonts w:ascii="Times New Roman" w:eastAsia="Times New Roman" w:hAnsi="Times New Roman" w:cs="Times New Roman"/>
          <w:sz w:val="24"/>
          <w:szCs w:val="24"/>
        </w:rPr>
        <w:t>A</w:t>
      </w:r>
      <w:r w:rsidR="00B96D26" w:rsidRPr="00D553E9">
        <w:rPr>
          <w:rFonts w:ascii="Times New Roman" w:eastAsia="Times New Roman" w:hAnsi="Times New Roman" w:cs="Times New Roman"/>
          <w:sz w:val="24"/>
          <w:szCs w:val="24"/>
        </w:rPr>
        <w:t xml:space="preserve">wardee </w:t>
      </w:r>
      <w:r w:rsidR="00FD0E36" w:rsidRPr="00D553E9">
        <w:rPr>
          <w:rFonts w:ascii="Times New Roman" w:eastAsia="Times New Roman" w:hAnsi="Times New Roman" w:cs="Times New Roman"/>
          <w:sz w:val="24"/>
          <w:szCs w:val="24"/>
        </w:rPr>
        <w:t>P</w:t>
      </w:r>
      <w:r w:rsidR="00B96D26" w:rsidRPr="00D553E9">
        <w:rPr>
          <w:rFonts w:ascii="Times New Roman" w:eastAsia="Times New Roman" w:hAnsi="Times New Roman" w:cs="Times New Roman"/>
          <w:sz w:val="24"/>
          <w:szCs w:val="24"/>
        </w:rPr>
        <w:t xml:space="preserve">erformance &amp; Integrity </w:t>
      </w:r>
      <w:r w:rsidR="00FD0E36" w:rsidRPr="00D553E9">
        <w:rPr>
          <w:rFonts w:ascii="Times New Roman" w:eastAsia="Times New Roman" w:hAnsi="Times New Roman" w:cs="Times New Roman"/>
          <w:sz w:val="24"/>
          <w:szCs w:val="24"/>
        </w:rPr>
        <w:t>I</w:t>
      </w:r>
      <w:r w:rsidR="00B96D26" w:rsidRPr="00D553E9">
        <w:rPr>
          <w:rFonts w:ascii="Times New Roman" w:eastAsia="Times New Roman" w:hAnsi="Times New Roman" w:cs="Times New Roman"/>
          <w:sz w:val="24"/>
          <w:szCs w:val="24"/>
        </w:rPr>
        <w:t xml:space="preserve">nformation </w:t>
      </w:r>
      <w:r w:rsidR="00FD0E36" w:rsidRPr="00D553E9">
        <w:rPr>
          <w:rFonts w:ascii="Times New Roman" w:eastAsia="Times New Roman" w:hAnsi="Times New Roman" w:cs="Times New Roman"/>
          <w:sz w:val="24"/>
          <w:szCs w:val="24"/>
        </w:rPr>
        <w:t>S</w:t>
      </w:r>
      <w:r w:rsidR="00B96D26" w:rsidRPr="00D553E9">
        <w:rPr>
          <w:rFonts w:ascii="Times New Roman" w:eastAsia="Times New Roman" w:hAnsi="Times New Roman" w:cs="Times New Roman"/>
          <w:sz w:val="24"/>
          <w:szCs w:val="24"/>
        </w:rPr>
        <w:t>ystem (FAPIIS)</w:t>
      </w:r>
    </w:p>
    <w:p w14:paraId="6F52AEC3"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roofErr w:type="spellStart"/>
      <w:r w:rsidRPr="00D553E9">
        <w:rPr>
          <w:rFonts w:ascii="Times New Roman" w:eastAsia="Times New Roman" w:hAnsi="Times New Roman" w:cs="Times New Roman"/>
          <w:sz w:val="24"/>
          <w:szCs w:val="24"/>
        </w:rPr>
        <w:t>i</w:t>
      </w:r>
      <w:proofErr w:type="spellEnd"/>
      <w:r w:rsidRPr="00D553E9">
        <w:rPr>
          <w:rFonts w:ascii="Times New Roman" w:eastAsia="Times New Roman" w:hAnsi="Times New Roman" w:cs="Times New Roman"/>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5AA5F88"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D553E9">
        <w:rPr>
          <w:rFonts w:ascii="Times New Roman" w:eastAsia="Times New Roman" w:hAnsi="Times New Roman" w:cs="Times New Roman"/>
          <w:sz w:val="24"/>
          <w:szCs w:val="24"/>
        </w:rPr>
        <w:t>6</w:t>
      </w:r>
      <w:r w:rsidRPr="00D553E9">
        <w:rPr>
          <w:rFonts w:ascii="Times New Roman" w:eastAsia="Times New Roman" w:hAnsi="Times New Roman" w:cs="Times New Roman"/>
          <w:sz w:val="24"/>
          <w:szCs w:val="24"/>
        </w:rPr>
        <w:t xml:space="preserve"> Federal awarding agency review of risk posed by applicants.</w:t>
      </w:r>
    </w:p>
    <w:p w14:paraId="61EC079B" w14:textId="08D7D695" w:rsidR="00FD0E36" w:rsidRPr="00D553E9" w:rsidRDefault="00FD0E36" w:rsidP="6BCB91DD">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6ECB1E1"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F</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ADMINISTRATION</w:t>
      </w:r>
      <w:r w:rsidRPr="00D553E9">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D553E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Federal Award Notices</w:t>
      </w:r>
    </w:p>
    <w:p w14:paraId="2C5CD8F9" w14:textId="77777777" w:rsidR="00B12515" w:rsidRPr="00D553E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34D8FB1" w14:textId="39F0773D" w:rsidR="00D0290D" w:rsidRPr="00D553E9" w:rsidRDefault="52480882"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The</w:t>
      </w:r>
      <w:r w:rsidR="00B61396" w:rsidRPr="00D553E9">
        <w:rPr>
          <w:rFonts w:ascii="Times New Roman" w:eastAsia="Times New Roman" w:hAnsi="Times New Roman" w:cs="Times New Roman"/>
          <w:color w:val="000000" w:themeColor="text1"/>
          <w:sz w:val="24"/>
          <w:szCs w:val="24"/>
        </w:rPr>
        <w:t xml:space="preserve"> cooperative agreement </w:t>
      </w:r>
      <w:r w:rsidR="00D0290D" w:rsidRPr="00D553E9">
        <w:rPr>
          <w:rFonts w:ascii="Times New Roman" w:eastAsia="Times New Roman" w:hAnsi="Times New Roman" w:cs="Times New Roman"/>
          <w:color w:val="000000" w:themeColor="text1"/>
          <w:sz w:val="24"/>
          <w:szCs w:val="24"/>
        </w:rPr>
        <w:t>will</w:t>
      </w:r>
      <w:r w:rsidR="00B61396" w:rsidRPr="00D553E9">
        <w:rPr>
          <w:rFonts w:ascii="Times New Roman" w:eastAsia="Times New Roman" w:hAnsi="Times New Roman" w:cs="Times New Roman"/>
          <w:color w:val="000000" w:themeColor="text1"/>
          <w:sz w:val="24"/>
          <w:szCs w:val="24"/>
        </w:rPr>
        <w:t xml:space="preserve"> be written, signed, awarded, and administered by the Grants Officer. The assistance award agreement is the authorizing document</w:t>
      </w:r>
      <w:r w:rsidRPr="00D553E9">
        <w:rPr>
          <w:rFonts w:ascii="Times New Roman" w:eastAsia="Times New Roman" w:hAnsi="Times New Roman" w:cs="Times New Roman"/>
          <w:color w:val="000000" w:themeColor="text1"/>
          <w:sz w:val="24"/>
          <w:szCs w:val="24"/>
        </w:rPr>
        <w:t>,</w:t>
      </w:r>
      <w:r w:rsidR="00B61396" w:rsidRPr="00D553E9">
        <w:rPr>
          <w:rFonts w:ascii="Times New Roman" w:eastAsia="Times New Roman" w:hAnsi="Times New Roman" w:cs="Times New Roman"/>
          <w:color w:val="000000" w:themeColor="text1"/>
          <w:sz w:val="24"/>
          <w:szCs w:val="24"/>
        </w:rPr>
        <w:t xml:space="preserve"> and it will be provided to the recipient</w:t>
      </w:r>
      <w:r w:rsidR="00D0290D" w:rsidRPr="00D553E9">
        <w:rPr>
          <w:rFonts w:ascii="Times New Roman" w:eastAsia="Times New Roman" w:hAnsi="Times New Roman" w:cs="Times New Roman"/>
          <w:color w:val="000000" w:themeColor="text1"/>
          <w:sz w:val="24"/>
          <w:szCs w:val="24"/>
        </w:rPr>
        <w:t xml:space="preserve"> for review and signature by email</w:t>
      </w:r>
      <w:r w:rsidR="00B61396"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The recipient may only start incurring </w:t>
      </w:r>
      <w:r w:rsidRPr="00D553E9">
        <w:rPr>
          <w:rFonts w:ascii="Times New Roman" w:eastAsia="Times New Roman" w:hAnsi="Times New Roman" w:cs="Times New Roman"/>
          <w:color w:val="000000" w:themeColor="text1"/>
          <w:sz w:val="24"/>
          <w:szCs w:val="24"/>
        </w:rPr>
        <w:t>project</w:t>
      </w:r>
      <w:r w:rsidR="008D356F"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expenses beginning on the start date </w:t>
      </w:r>
      <w:r w:rsidR="008D356F" w:rsidRPr="00D553E9">
        <w:rPr>
          <w:rFonts w:ascii="Times New Roman" w:eastAsia="Times New Roman" w:hAnsi="Times New Roman" w:cs="Times New Roman"/>
          <w:color w:val="000000" w:themeColor="text1"/>
          <w:sz w:val="24"/>
          <w:szCs w:val="24"/>
        </w:rPr>
        <w:t>shown</w:t>
      </w:r>
      <w:r w:rsidR="00D0290D" w:rsidRPr="00D553E9">
        <w:rPr>
          <w:rFonts w:ascii="Times New Roman" w:eastAsia="Times New Roman" w:hAnsi="Times New Roman" w:cs="Times New Roman"/>
          <w:color w:val="000000" w:themeColor="text1"/>
          <w:sz w:val="24"/>
          <w:szCs w:val="24"/>
        </w:rPr>
        <w:t xml:space="preserve"> </w:t>
      </w:r>
      <w:r w:rsidR="008D356F" w:rsidRPr="00D553E9">
        <w:rPr>
          <w:rFonts w:ascii="Times New Roman" w:eastAsia="Times New Roman" w:hAnsi="Times New Roman" w:cs="Times New Roman"/>
          <w:color w:val="000000" w:themeColor="text1"/>
          <w:sz w:val="24"/>
          <w:szCs w:val="24"/>
        </w:rPr>
        <w:t>on</w:t>
      </w:r>
      <w:r w:rsidR="00D0290D" w:rsidRPr="00D553E9">
        <w:rPr>
          <w:rFonts w:ascii="Times New Roman" w:eastAsia="Times New Roman" w:hAnsi="Times New Roman" w:cs="Times New Roman"/>
          <w:color w:val="000000" w:themeColor="text1"/>
          <w:sz w:val="24"/>
          <w:szCs w:val="24"/>
        </w:rPr>
        <w:t xml:space="preserve"> the </w:t>
      </w:r>
      <w:r w:rsidR="008D356F" w:rsidRPr="00D553E9">
        <w:rPr>
          <w:rFonts w:ascii="Times New Roman" w:eastAsia="Times New Roman" w:hAnsi="Times New Roman" w:cs="Times New Roman"/>
          <w:color w:val="000000" w:themeColor="text1"/>
          <w:sz w:val="24"/>
          <w:szCs w:val="24"/>
        </w:rPr>
        <w:t xml:space="preserve">grant award document </w:t>
      </w:r>
      <w:r w:rsidR="00D0290D" w:rsidRPr="00D553E9">
        <w:rPr>
          <w:rFonts w:ascii="Times New Roman" w:eastAsia="Times New Roman" w:hAnsi="Times New Roman" w:cs="Times New Roman"/>
          <w:color w:val="000000" w:themeColor="text1"/>
          <w:sz w:val="24"/>
          <w:szCs w:val="24"/>
        </w:rPr>
        <w:t>signed by the Grants Officer.</w:t>
      </w:r>
    </w:p>
    <w:p w14:paraId="24589737" w14:textId="77777777" w:rsidR="006B676B" w:rsidRPr="00D553E9" w:rsidRDefault="006B676B" w:rsidP="6BCB91DD">
      <w:pPr>
        <w:spacing w:after="0" w:line="240" w:lineRule="auto"/>
        <w:rPr>
          <w:rFonts w:ascii="Times New Roman" w:eastAsia="Times New Roman" w:hAnsi="Times New Roman" w:cs="Times New Roman"/>
          <w:color w:val="000000" w:themeColor="text1"/>
          <w:sz w:val="24"/>
          <w:szCs w:val="24"/>
        </w:rPr>
      </w:pPr>
    </w:p>
    <w:p w14:paraId="7ADBEE9B" w14:textId="5154A4A2" w:rsidR="00FD0E36" w:rsidRPr="00D553E9" w:rsidRDefault="00FD0E36"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lastRenderedPageBreak/>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DC0B949" w14:textId="77777777"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p>
    <w:p w14:paraId="4A9B834C" w14:textId="158345D3"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52480882" w:rsidRPr="00D553E9">
        <w:rPr>
          <w:rFonts w:ascii="Times New Roman" w:eastAsia="Times New Roman" w:hAnsi="Times New Roman" w:cs="Times New Roman"/>
          <w:color w:val="000000" w:themeColor="text1"/>
          <w:sz w:val="24"/>
          <w:szCs w:val="24"/>
        </w:rPr>
        <w:t xml:space="preserve"> </w:t>
      </w:r>
    </w:p>
    <w:p w14:paraId="3189174D" w14:textId="77777777" w:rsidR="6BCB91DD" w:rsidRPr="00D553E9" w:rsidRDefault="6BCB91DD" w:rsidP="6BCB91DD">
      <w:pPr>
        <w:spacing w:after="0" w:line="240" w:lineRule="auto"/>
        <w:rPr>
          <w:rFonts w:ascii="Times New Roman" w:hAnsi="Times New Roman" w:cs="Times New Roman"/>
          <w:sz w:val="24"/>
          <w:szCs w:val="24"/>
        </w:rPr>
      </w:pPr>
    </w:p>
    <w:p w14:paraId="360C96C0" w14:textId="66BCF0E9"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Anticipated Time to Award: </w:t>
      </w:r>
      <w:r w:rsidRPr="00D553E9">
        <w:rPr>
          <w:rFonts w:ascii="Times New Roman" w:eastAsia="Times New Roman" w:hAnsi="Times New Roman" w:cs="Times New Roman"/>
          <w:color w:val="000000" w:themeColor="text1"/>
          <w:sz w:val="24"/>
          <w:szCs w:val="24"/>
        </w:rPr>
        <w:t xml:space="preserve">Applicants should expect to be notified of the </w:t>
      </w:r>
      <w:r w:rsidRPr="00D553E9">
        <w:rPr>
          <w:rFonts w:ascii="Times New Roman" w:eastAsia="Times New Roman" w:hAnsi="Times New Roman" w:cs="Times New Roman"/>
          <w:i/>
          <w:iCs/>
          <w:color w:val="000000" w:themeColor="text1"/>
          <w:sz w:val="24"/>
          <w:szCs w:val="24"/>
        </w:rPr>
        <w:t xml:space="preserve">recommended </w:t>
      </w:r>
      <w:r w:rsidRPr="00D553E9">
        <w:rPr>
          <w:rFonts w:ascii="Times New Roman" w:eastAsia="Times New Roman" w:hAnsi="Times New Roman" w:cs="Times New Roman"/>
          <w:color w:val="000000" w:themeColor="text1"/>
          <w:sz w:val="24"/>
          <w:szCs w:val="24"/>
        </w:rPr>
        <w:t xml:space="preserve">concepts within 90 days after the submission deadline. Following this initial notification, </w:t>
      </w:r>
      <w:r w:rsidRPr="00D553E9">
        <w:rPr>
          <w:rFonts w:ascii="Times New Roman" w:eastAsia="Times New Roman" w:hAnsi="Times New Roman" w:cs="Times New Roman"/>
          <w:b/>
          <w:bCs/>
          <w:color w:val="000000" w:themeColor="text1"/>
          <w:sz w:val="24"/>
          <w:szCs w:val="24"/>
        </w:rPr>
        <w:t>selected applicants will be expected to submit a full application within 30 days</w:t>
      </w:r>
      <w:r w:rsidRPr="00D553E9">
        <w:rPr>
          <w:rFonts w:ascii="Times New Roman" w:eastAsia="Times New Roman" w:hAnsi="Times New Roman" w:cs="Times New Roman"/>
          <w:color w:val="000000" w:themeColor="text1"/>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176BBF7C" w14:textId="78C0C860"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77839244" w14:textId="77777777" w:rsidR="6BCB91DD" w:rsidRPr="00D553E9" w:rsidRDefault="6BCB91DD" w:rsidP="6BCB91DD">
      <w:pPr>
        <w:spacing w:after="0" w:line="240" w:lineRule="auto"/>
        <w:rPr>
          <w:rFonts w:ascii="Times New Roman" w:eastAsia="Times New Roman" w:hAnsi="Times New Roman" w:cs="Times New Roman"/>
          <w:b/>
          <w:bCs/>
          <w:color w:val="000000" w:themeColor="text1"/>
          <w:sz w:val="24"/>
          <w:szCs w:val="24"/>
        </w:rPr>
      </w:pPr>
    </w:p>
    <w:p w14:paraId="042B29DB" w14:textId="43C4D2B4"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Project Implementation Meeting: </w:t>
      </w:r>
      <w:r w:rsidRPr="00D553E9">
        <w:rPr>
          <w:rFonts w:ascii="Times New Roman" w:eastAsia="Times New Roman" w:hAnsi="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14:paraId="7C7EEEEA" w14:textId="77777777" w:rsidR="00FD0E36" w:rsidRPr="00D553E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42B230E" w14:textId="07FD6A15" w:rsidR="002E440C" w:rsidRPr="00D553E9" w:rsidRDefault="00FD0E36" w:rsidP="00D0290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b/>
          <w:sz w:val="24"/>
          <w:szCs w:val="24"/>
        </w:rPr>
        <w:t>Payment Method:</w:t>
      </w:r>
      <w:r w:rsidR="00103B55" w:rsidRPr="00D553E9">
        <w:rPr>
          <w:rFonts w:ascii="Times New Roman" w:eastAsia="Times New Roman" w:hAnsi="Times New Roman" w:cs="Times New Roman"/>
          <w:sz w:val="24"/>
          <w:szCs w:val="24"/>
        </w:rPr>
        <w:t xml:space="preserve"> </w:t>
      </w:r>
      <w:r w:rsidR="00027209" w:rsidRPr="00D553E9">
        <w:rPr>
          <w:rStyle w:val="normaltextrun"/>
          <w:rFonts w:ascii="Times New Roman" w:hAnsi="Times New Roman" w:cs="Times New Roman"/>
          <w:sz w:val="24"/>
          <w:szCs w:val="24"/>
        </w:rPr>
        <w:t>Payments under this award will be made through the U.S. Department of Health and Human Services (HHS) Payment Management System (</w:t>
      </w:r>
      <w:r w:rsidR="00027209" w:rsidRPr="00D553E9">
        <w:rPr>
          <w:rStyle w:val="findhit"/>
          <w:rFonts w:ascii="Times New Roman" w:hAnsi="Times New Roman" w:cs="Times New Roman"/>
          <w:sz w:val="24"/>
          <w:szCs w:val="24"/>
        </w:rPr>
        <w:t>PMS</w:t>
      </w:r>
      <w:r w:rsidR="00027209" w:rsidRPr="00D553E9">
        <w:rPr>
          <w:rStyle w:val="normaltextrun"/>
          <w:rFonts w:ascii="Times New Roman" w:hAnsi="Times New Roman" w:cs="Times New Roman"/>
          <w:sz w:val="24"/>
          <w:szCs w:val="24"/>
        </w:rPr>
        <w:t xml:space="preserve">). Unless otherwise stipulated, the Recipient may request payments on a reimbursement or advance basis. Instructions for requesting payments are available at: </w:t>
      </w:r>
      <w:hyperlink r:id="rId21" w:tgtFrame="_blank" w:history="1">
        <w:r w:rsidR="00027209" w:rsidRPr="00D553E9">
          <w:rPr>
            <w:rStyle w:val="normaltextrun"/>
            <w:rFonts w:ascii="Times New Roman" w:hAnsi="Times New Roman" w:cs="Times New Roman"/>
            <w:color w:val="0000FF"/>
            <w:sz w:val="24"/>
            <w:szCs w:val="24"/>
            <w:u w:val="single"/>
          </w:rPr>
          <w:t>https://</w:t>
        </w:r>
        <w:r w:rsidR="00027209" w:rsidRPr="00D553E9">
          <w:rPr>
            <w:rStyle w:val="findhit"/>
            <w:rFonts w:ascii="Times New Roman" w:hAnsi="Times New Roman" w:cs="Times New Roman"/>
            <w:color w:val="0000FF"/>
            <w:sz w:val="24"/>
            <w:szCs w:val="24"/>
            <w:u w:val="single"/>
          </w:rPr>
          <w:t>pms</w:t>
        </w:r>
        <w:r w:rsidR="00027209" w:rsidRPr="00D553E9">
          <w:rPr>
            <w:rStyle w:val="normaltextrun"/>
            <w:rFonts w:ascii="Times New Roman" w:hAnsi="Times New Roman" w:cs="Times New Roman"/>
            <w:color w:val="0000FF"/>
            <w:sz w:val="24"/>
            <w:szCs w:val="24"/>
            <w:u w:val="single"/>
          </w:rPr>
          <w:t>.psc.gov/</w:t>
        </w:r>
      </w:hyperlink>
      <w:r w:rsidR="00027209" w:rsidRPr="00D553E9">
        <w:rPr>
          <w:rStyle w:val="normaltextrun"/>
          <w:rFonts w:ascii="Times New Roman" w:hAnsi="Times New Roman" w:cs="Times New Roman"/>
          <w:sz w:val="24"/>
          <w:szCs w:val="24"/>
        </w:rPr>
        <w:t>.</w:t>
      </w:r>
      <w:r w:rsidR="00027209" w:rsidRPr="00D553E9">
        <w:rPr>
          <w:rStyle w:val="eop"/>
          <w:rFonts w:ascii="Times New Roman" w:hAnsi="Times New Roman" w:cs="Times New Roman"/>
          <w:sz w:val="24"/>
          <w:szCs w:val="24"/>
          <w:shd w:val="clear" w:color="auto" w:fill="FFFFFF"/>
        </w:rPr>
        <w:t> </w:t>
      </w:r>
    </w:p>
    <w:p w14:paraId="25EC965F" w14:textId="77777777" w:rsidR="006B676B" w:rsidRPr="00D553E9"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Administrative and National Policy Requirements</w:t>
      </w:r>
    </w:p>
    <w:p w14:paraId="5122FB7E" w14:textId="77777777" w:rsidR="00FD0E36" w:rsidRPr="00D553E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b/>
      </w:r>
      <w:r w:rsidR="00FD0E36" w:rsidRPr="00D553E9">
        <w:rPr>
          <w:rFonts w:ascii="Times New Roman" w:eastAsia="Times New Roman" w:hAnsi="Times New Roman" w:cs="Times New Roman"/>
          <w:sz w:val="24"/>
          <w:szCs w:val="24"/>
        </w:rPr>
        <w:t>These include:</w:t>
      </w:r>
    </w:p>
    <w:p w14:paraId="67497606"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2" w:history="1">
        <w:r w:rsidR="00FA0A6B" w:rsidRPr="00D553E9">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3" w:history="1">
        <w:r w:rsidR="00FA0A6B" w:rsidRPr="00D553E9">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4" w:history="1">
        <w:r w:rsidR="00FA0A6B" w:rsidRPr="00D553E9">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5" w:history="1">
        <w:r w:rsidR="00FA0A6B" w:rsidRPr="00D553E9">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6" w:history="1">
        <w:r w:rsidR="00FA0A6B" w:rsidRPr="00D553E9">
          <w:rPr>
            <w:rStyle w:val="Hyperlink"/>
            <w:rFonts w:ascii="Times New Roman" w:eastAsia="Times New Roman" w:hAnsi="Times New Roman" w:cs="Times New Roman"/>
            <w:sz w:val="24"/>
            <w:szCs w:val="24"/>
          </w:rPr>
          <w:t>2 CFR 183 - NEVER CONTRACT WITH THE ENEMY</w:t>
        </w:r>
      </w:hyperlink>
    </w:p>
    <w:p w14:paraId="47769D9B" w14:textId="30CF1658"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7" w:history="1">
        <w:r w:rsidR="00FA0A6B" w:rsidRPr="00D553E9">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8" w:history="1">
        <w:r w:rsidR="00FA0A6B" w:rsidRPr="00D553E9">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D553E9" w:rsidRDefault="525DB2C9" w:rsidP="00731219">
      <w:pPr>
        <w:spacing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D553E9" w:rsidRDefault="00000000" w:rsidP="00202D1D">
      <w:pPr>
        <w:numPr>
          <w:ilvl w:val="0"/>
          <w:numId w:val="16"/>
        </w:numPr>
        <w:spacing w:after="0" w:line="240" w:lineRule="atLeast"/>
        <w:rPr>
          <w:rFonts w:ascii="Times New Roman" w:hAnsi="Times New Roman" w:cs="Times New Roman"/>
          <w:color w:val="000000"/>
          <w:sz w:val="24"/>
          <w:szCs w:val="24"/>
        </w:rPr>
      </w:pPr>
      <w:hyperlink r:id="rId29" w:history="1">
        <w:r w:rsidR="00731219" w:rsidRPr="00D553E9">
          <w:rPr>
            <w:rStyle w:val="Hyperlink"/>
            <w:rFonts w:ascii="Times New Roman" w:hAnsi="Times New Roman" w:cs="Times New Roman"/>
            <w:sz w:val="24"/>
            <w:szCs w:val="24"/>
          </w:rPr>
          <w:t>Guidance for Grants and Agreements in Title 2 of the Code of Federal Regulations</w:t>
        </w:r>
      </w:hyperlink>
      <w:r w:rsidR="00731219" w:rsidRPr="00D553E9">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 xml:space="preserve">Promoting the freedom of speech and religious liberty in alignment with </w:t>
      </w:r>
      <w:r w:rsidRPr="00D553E9">
        <w:rPr>
          <w:rFonts w:ascii="Times New Roman" w:hAnsi="Times New Roman" w:cs="Times New Roman"/>
          <w:i/>
          <w:color w:val="000000"/>
          <w:sz w:val="24"/>
          <w:szCs w:val="24"/>
        </w:rPr>
        <w:t xml:space="preserve">Promoting Free Speech and Religious Liberty </w:t>
      </w:r>
      <w:r w:rsidRPr="00D553E9">
        <w:rPr>
          <w:rFonts w:ascii="Times New Roman" w:hAnsi="Times New Roman" w:cs="Times New Roman"/>
          <w:color w:val="000000"/>
          <w:sz w:val="24"/>
          <w:szCs w:val="24"/>
        </w:rPr>
        <w:t xml:space="preserve">(E.O. 13798) and </w:t>
      </w:r>
      <w:r w:rsidRPr="00D553E9">
        <w:rPr>
          <w:rFonts w:ascii="Times New Roman" w:hAnsi="Times New Roman" w:cs="Times New Roman"/>
          <w:i/>
          <w:color w:val="000000"/>
          <w:sz w:val="24"/>
          <w:szCs w:val="24"/>
        </w:rPr>
        <w:t>Improving Free Inquiry, Transparency, and Accountability at Colleges and Universities</w:t>
      </w:r>
      <w:r w:rsidRPr="00D553E9">
        <w:rPr>
          <w:rFonts w:ascii="Times New Roman" w:hAnsi="Times New Roman" w:cs="Times New Roman"/>
          <w:color w:val="000000"/>
          <w:sz w:val="24"/>
          <w:szCs w:val="24"/>
        </w:rPr>
        <w:t xml:space="preserve"> (E.O. 13864) (§§ 200.300, 200.303, 200.339, and 200.341), </w:t>
      </w:r>
    </w:p>
    <w:p w14:paraId="63A01C57"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56ADB2F4" w:rsidR="00FA0A6B"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4CF1879F" w14:textId="68ECCC61" w:rsidR="002F038D" w:rsidRPr="00D553E9"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Reporting</w:t>
      </w:r>
    </w:p>
    <w:p w14:paraId="4DD841FB"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3DF9E7" w14:textId="47F93084" w:rsidR="67D1AD71" w:rsidRPr="00D553E9" w:rsidRDefault="67D1AD71" w:rsidP="48009022">
      <w:pPr>
        <w:pStyle w:val="Default"/>
        <w:rPr>
          <w:rFonts w:eastAsia="Times New Roman"/>
          <w:color w:val="000000" w:themeColor="text1"/>
        </w:rPr>
      </w:pPr>
      <w:r w:rsidRPr="00D553E9">
        <w:rPr>
          <w:rFonts w:eastAsia="Times New Roman"/>
          <w:b/>
          <w:bCs/>
          <w:color w:val="000000" w:themeColor="text1"/>
        </w:rPr>
        <w:t xml:space="preserve">Reporting Requirements: </w:t>
      </w:r>
      <w:r w:rsidRPr="00D553E9">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14:paraId="5C538B48" w14:textId="676E83C9" w:rsidR="67D1AD71" w:rsidRPr="00D553E9" w:rsidRDefault="67D1AD71" w:rsidP="48009022">
      <w:pPr>
        <w:pStyle w:val="Default"/>
        <w:spacing w:after="21"/>
        <w:rPr>
          <w:rFonts w:eastAsia="Times New Roman"/>
          <w:color w:val="000000" w:themeColor="text1"/>
        </w:rPr>
      </w:pPr>
      <w:r w:rsidRPr="00D553E9">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0">
        <w:r w:rsidRPr="00D553E9">
          <w:rPr>
            <w:rStyle w:val="Hyperlink"/>
            <w:rFonts w:eastAsia="Times New Roman"/>
          </w:rPr>
          <w:t>ISN-CTR-BUDGET@state.gov</w:t>
        </w:r>
      </w:hyperlink>
      <w:r w:rsidRPr="00D553E9">
        <w:rPr>
          <w:rFonts w:eastAsia="Times New Roman"/>
          <w:color w:val="000000" w:themeColor="text1"/>
        </w:rPr>
        <w:t xml:space="preserve"> detailing: </w:t>
      </w:r>
    </w:p>
    <w:p w14:paraId="3A93CBE1" w14:textId="4659826D" w:rsidR="48009022" w:rsidRPr="00D553E9" w:rsidRDefault="48009022" w:rsidP="48009022">
      <w:pPr>
        <w:spacing w:after="21" w:line="240" w:lineRule="auto"/>
        <w:rPr>
          <w:rFonts w:ascii="Times New Roman" w:eastAsia="Times New Roman" w:hAnsi="Times New Roman" w:cs="Times New Roman"/>
          <w:color w:val="000000" w:themeColor="text1"/>
          <w:sz w:val="24"/>
          <w:szCs w:val="24"/>
        </w:rPr>
      </w:pPr>
    </w:p>
    <w:p w14:paraId="03761C7F" w14:textId="48AE460F"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Assistance activities conducted during the reporting period; </w:t>
      </w:r>
    </w:p>
    <w:p w14:paraId="5D0F8A9F" w14:textId="0FD620BB"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Milestones and successes achieved to date; </w:t>
      </w:r>
    </w:p>
    <w:p w14:paraId="7A6EB692" w14:textId="48A1F775"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Key assistance activities remaining to be implemented with a projected timetable; </w:t>
      </w:r>
    </w:p>
    <w:p w14:paraId="4C90EB98" w14:textId="32C21C1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Details of any problems encountered with proposed solutions; and </w:t>
      </w:r>
    </w:p>
    <w:p w14:paraId="199AE029" w14:textId="079B0D6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Any other pertinent information requested by ISN/CTR. </w:t>
      </w:r>
    </w:p>
    <w:p w14:paraId="2B495226" w14:textId="74FB94EA"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The Recipient shall provide the GOR with copies of all materials developed under this cooperative agreement. </w:t>
      </w:r>
    </w:p>
    <w:p w14:paraId="34B705A9" w14:textId="24E93624" w:rsidR="67D1AD71" w:rsidRPr="00D553E9" w:rsidRDefault="67D1AD71" w:rsidP="008E7F6A">
      <w:pPr>
        <w:pStyle w:val="Default"/>
        <w:numPr>
          <w:ilvl w:val="0"/>
          <w:numId w:val="16"/>
        </w:numPr>
        <w:rPr>
          <w:rFonts w:eastAsia="Times New Roman"/>
          <w:color w:val="000000" w:themeColor="text1"/>
        </w:rPr>
      </w:pPr>
      <w:r w:rsidRPr="00D553E9">
        <w:rPr>
          <w:rFonts w:eastAsia="Times New Roman"/>
          <w:color w:val="000000" w:themeColor="text1"/>
        </w:rPr>
        <w:lastRenderedPageBreak/>
        <w:t xml:space="preserve">In addition to regular quarterly reports, the Recipient shall furnish the GOR with ad hoc reports as requested from time to time. </w:t>
      </w:r>
    </w:p>
    <w:p w14:paraId="5C7AAF23" w14:textId="47914D64" w:rsidR="67D1AD71" w:rsidRPr="00D553E9" w:rsidRDefault="67D1AD71" w:rsidP="008E7F6A">
      <w:pPr>
        <w:pStyle w:val="Default"/>
        <w:numPr>
          <w:ilvl w:val="0"/>
          <w:numId w:val="16"/>
        </w:numPr>
        <w:rPr>
          <w:rFonts w:eastAsia="Times New Roman"/>
          <w:color w:val="333333"/>
        </w:rPr>
      </w:pPr>
      <w:r w:rsidRPr="00D553E9">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14:paraId="681FC8AC" w14:textId="77777777"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178AFDAE"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31" w:anchor="ap2.1.200_1521.xii" w:history="1">
        <w:r w:rsidRPr="00D553E9">
          <w:rPr>
            <w:rStyle w:val="Hyperlink"/>
            <w:rFonts w:ascii="Times New Roman" w:hAnsi="Times New Roman" w:cs="Times New Roman"/>
            <w:sz w:val="24"/>
            <w:szCs w:val="24"/>
          </w:rPr>
          <w:t>2 CFR 200 Appendix XII—Award Term and Condition for Recipient Integrity and Performance Matters</w:t>
        </w:r>
      </w:hyperlink>
      <w:r w:rsidRPr="00D553E9">
        <w:rPr>
          <w:rFonts w:ascii="Times New Roman" w:eastAsia="Times New Roman" w:hAnsi="Times New Roman" w:cs="Times New Roman"/>
          <w:color w:val="000000" w:themeColor="text1"/>
          <w:sz w:val="24"/>
          <w:szCs w:val="24"/>
        </w:rPr>
        <w:t>.</w:t>
      </w:r>
    </w:p>
    <w:p w14:paraId="4A32B468" w14:textId="163FDC77" w:rsidR="00C3134C" w:rsidRPr="00D553E9"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6028CFE8" w:rsidR="00D0290D" w:rsidRPr="00D553E9"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b/>
          <w:color w:val="000000" w:themeColor="text1"/>
          <w:sz w:val="24"/>
          <w:szCs w:val="24"/>
        </w:rPr>
        <w:t>Foreign Assistance Data Review:</w:t>
      </w:r>
      <w:r w:rsidRPr="00D553E9">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D553E9"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D553E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 xml:space="preserve">G.  </w:t>
      </w:r>
      <w:r w:rsidR="005A068C" w:rsidRPr="00D553E9">
        <w:rPr>
          <w:rFonts w:ascii="Times New Roman" w:eastAsia="Times New Roman" w:hAnsi="Times New Roman" w:cs="Times New Roman"/>
          <w:b/>
          <w:bCs/>
          <w:sz w:val="24"/>
          <w:szCs w:val="24"/>
          <w:bdr w:val="none" w:sz="0" w:space="0" w:color="auto" w:frame="1"/>
        </w:rPr>
        <w:t>FEDERAL AWARDING AGENCY CONTACTS</w:t>
      </w:r>
    </w:p>
    <w:p w14:paraId="5B5F5DDC" w14:textId="77777777" w:rsidR="00ED7BAE" w:rsidRDefault="00B61396" w:rsidP="00ED7BAE">
      <w:pPr>
        <w:pStyle w:val="Default"/>
      </w:pPr>
      <w:r w:rsidRPr="00D553E9">
        <w:rPr>
          <w:rFonts w:eastAsia="Times New Roman"/>
        </w:rPr>
        <w:t>If you hav</w:t>
      </w:r>
      <w:r w:rsidR="005A068C" w:rsidRPr="00D553E9">
        <w:rPr>
          <w:rFonts w:eastAsia="Times New Roman"/>
        </w:rPr>
        <w:t>e any questions about the grant</w:t>
      </w:r>
      <w:r w:rsidRPr="00D553E9">
        <w:rPr>
          <w:rFonts w:eastAsia="Times New Roman"/>
        </w:rPr>
        <w:t xml:space="preserve"> application process, please contact: </w:t>
      </w:r>
      <w:hyperlink r:id="rId32" w:history="1">
        <w:r w:rsidR="00ED7BAE" w:rsidRPr="0079095B">
          <w:rPr>
            <w:rStyle w:val="Hyperlink"/>
          </w:rPr>
          <w:t>CTRSpecialProjectsProposals@state.gov</w:t>
        </w:r>
      </w:hyperlink>
    </w:p>
    <w:p w14:paraId="66A016CE" w14:textId="74A09E21" w:rsidR="00B61396" w:rsidRPr="00D553E9" w:rsidRDefault="00B6139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697CF67" w14:textId="77777777" w:rsidR="0021787D" w:rsidRPr="00D553E9"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41B6033" w14:textId="13AC7362"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Direct any NOFO submission (non-programmatic) questions to: </w:t>
      </w:r>
    </w:p>
    <w:p w14:paraId="622C6769" w14:textId="466DF1D0"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Office of Cooperative Threat Reduction Budget Team </w:t>
      </w:r>
      <w:hyperlink r:id="rId33">
        <w:r w:rsidRPr="00D553E9">
          <w:rPr>
            <w:rStyle w:val="Hyperlink"/>
            <w:rFonts w:eastAsia="Times New Roman"/>
          </w:rPr>
          <w:t>ISN-CTR-BUDGET@state.gov</w:t>
        </w:r>
      </w:hyperlink>
    </w:p>
    <w:p w14:paraId="1906CA1A" w14:textId="4B99DD9E" w:rsidR="564C5272" w:rsidRPr="00D553E9" w:rsidRDefault="564C5272" w:rsidP="19FE6C26">
      <w:pPr>
        <w:rPr>
          <w:rFonts w:ascii="Times New Roman" w:hAnsi="Times New Roman" w:cs="Times New Roman"/>
          <w:b/>
          <w:sz w:val="24"/>
          <w:szCs w:val="24"/>
        </w:rPr>
      </w:pPr>
    </w:p>
    <w:p w14:paraId="77A8339F" w14:textId="77777777" w:rsidR="005E47B1" w:rsidRPr="00D553E9" w:rsidRDefault="005A068C">
      <w:pPr>
        <w:rPr>
          <w:rFonts w:ascii="Times New Roman" w:hAnsi="Times New Roman" w:cs="Times New Roman"/>
          <w:b/>
          <w:sz w:val="24"/>
          <w:szCs w:val="24"/>
        </w:rPr>
      </w:pPr>
      <w:r w:rsidRPr="00D553E9">
        <w:rPr>
          <w:rFonts w:ascii="Times New Roman" w:hAnsi="Times New Roman" w:cs="Times New Roman"/>
          <w:b/>
          <w:sz w:val="24"/>
          <w:szCs w:val="24"/>
        </w:rPr>
        <w:t xml:space="preserve">H.  OTHER INFORMATION </w:t>
      </w:r>
    </w:p>
    <w:p w14:paraId="0AD157E5"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Personnel</w:t>
      </w:r>
      <w:r w:rsidR="0021787D" w:rsidRPr="00D553E9">
        <w:rPr>
          <w:rFonts w:ascii="Times New Roman" w:eastAsia="Times New Roman" w:hAnsi="Times New Roman" w:cs="Times New Roman"/>
          <w:sz w:val="24"/>
          <w:szCs w:val="24"/>
        </w:rPr>
        <w:t xml:space="preserve"> and Fringe Benefits</w:t>
      </w:r>
      <w:r w:rsidRPr="00D553E9">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and the percentage of their time that will be spent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w:t>
      </w:r>
    </w:p>
    <w:p w14:paraId="6C651E07"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Travel: Estimate the costs of travel and per diem for this </w:t>
      </w:r>
      <w:r w:rsidR="00B37DD1" w:rsidRPr="00D553E9">
        <w:rPr>
          <w:rFonts w:ascii="Times New Roman" w:eastAsia="Times New Roman" w:hAnsi="Times New Roman" w:cs="Times New Roman"/>
          <w:sz w:val="24"/>
          <w:szCs w:val="24"/>
        </w:rPr>
        <w:t>program</w:t>
      </w:r>
      <w:r w:rsidR="0021787D" w:rsidRPr="00D553E9">
        <w:rPr>
          <w:rFonts w:ascii="Times New Roman" w:eastAsia="Times New Roman" w:hAnsi="Times New Roman" w:cs="Times New Roman"/>
          <w:sz w:val="24"/>
          <w:szCs w:val="24"/>
        </w:rPr>
        <w:t>, for program staff, consultants or speakers, and participants/beneficiaries</w:t>
      </w:r>
      <w:r w:rsidRPr="00D553E9">
        <w:rPr>
          <w:rFonts w:ascii="Times New Roman" w:eastAsia="Times New Roman" w:hAnsi="Times New Roman" w:cs="Times New Roman"/>
          <w:sz w:val="24"/>
          <w:szCs w:val="24"/>
        </w:rPr>
        <w:t xml:space="preserve">. If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Equipment: Describe any machinery, furniture, or other personal property that is required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has a useful life of more than one year (or a life longer than the duration of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and costs at least $5,000 per unit.</w:t>
      </w:r>
    </w:p>
    <w:p w14:paraId="2A0F15B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 xml:space="preserve">Contractual: </w:t>
      </w:r>
      <w:r w:rsidR="009C7E59" w:rsidRPr="00D553E9">
        <w:rPr>
          <w:rFonts w:ascii="Times New Roman" w:eastAsia="Times New Roman" w:hAnsi="Times New Roman" w:cs="Times New Roman"/>
          <w:sz w:val="24"/>
          <w:szCs w:val="24"/>
        </w:rPr>
        <w:t xml:space="preserve">Describe </w:t>
      </w:r>
      <w:r w:rsidRPr="00D553E9">
        <w:rPr>
          <w:rFonts w:ascii="Times New Roman" w:eastAsia="Times New Roman" w:hAnsi="Times New Roman" w:cs="Times New Roman"/>
          <w:sz w:val="24"/>
          <w:szCs w:val="24"/>
        </w:rPr>
        <w:t xml:space="preserve">goods and services that the applicant </w:t>
      </w:r>
      <w:r w:rsidR="009C7E59" w:rsidRPr="00D553E9">
        <w:rPr>
          <w:rFonts w:ascii="Times New Roman" w:eastAsia="Times New Roman" w:hAnsi="Times New Roman" w:cs="Times New Roman"/>
          <w:sz w:val="24"/>
          <w:szCs w:val="24"/>
        </w:rPr>
        <w:t xml:space="preserve">plans </w:t>
      </w:r>
      <w:r w:rsidRPr="00D553E9">
        <w:rPr>
          <w:rFonts w:ascii="Times New Roman" w:eastAsia="Times New Roman" w:hAnsi="Times New Roman" w:cs="Times New Roman"/>
          <w:sz w:val="24"/>
          <w:szCs w:val="24"/>
        </w:rPr>
        <w:t>to acquire t</w:t>
      </w:r>
      <w:r w:rsidR="009C7E59" w:rsidRPr="00D553E9">
        <w:rPr>
          <w:rFonts w:ascii="Times New Roman" w:eastAsia="Times New Roman" w:hAnsi="Times New Roman" w:cs="Times New Roman"/>
          <w:sz w:val="24"/>
          <w:szCs w:val="24"/>
        </w:rPr>
        <w:t>hrough a contract with a vendor.  Also describe</w:t>
      </w:r>
      <w:r w:rsidRPr="00D553E9">
        <w:rPr>
          <w:rFonts w:ascii="Times New Roman" w:eastAsia="Times New Roman" w:hAnsi="Times New Roman" w:cs="Times New Roman"/>
          <w:sz w:val="24"/>
          <w:szCs w:val="24"/>
        </w:rPr>
        <w:t xml:space="preserve"> any sub-awards to non-profit partners that will help carry out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w:t>
      </w:r>
    </w:p>
    <w:p w14:paraId="3343A39C"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Other Direct Costs: </w:t>
      </w:r>
      <w:r w:rsidR="009C7E59" w:rsidRPr="00D553E9">
        <w:rPr>
          <w:rFonts w:ascii="Times New Roman" w:eastAsia="Times New Roman" w:hAnsi="Times New Roman" w:cs="Times New Roman"/>
          <w:sz w:val="24"/>
          <w:szCs w:val="24"/>
        </w:rPr>
        <w:t>Describe o</w:t>
      </w:r>
      <w:r w:rsidRPr="00D553E9">
        <w:rPr>
          <w:rFonts w:ascii="Times New Roman" w:eastAsia="Times New Roman" w:hAnsi="Times New Roman" w:cs="Times New Roman"/>
          <w:sz w:val="24"/>
          <w:szCs w:val="24"/>
        </w:rPr>
        <w:t xml:space="preserve">ther costs directly associated with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do not fit </w:t>
      </w:r>
      <w:r w:rsidR="009C7E59" w:rsidRPr="00D553E9">
        <w:rPr>
          <w:rFonts w:ascii="Times New Roman" w:eastAsia="Times New Roman" w:hAnsi="Times New Roman" w:cs="Times New Roman"/>
          <w:sz w:val="24"/>
          <w:szCs w:val="24"/>
        </w:rPr>
        <w:t>in</w:t>
      </w:r>
      <w:r w:rsidRPr="00D553E9">
        <w:rPr>
          <w:rFonts w:ascii="Times New Roman" w:eastAsia="Times New Roman" w:hAnsi="Times New Roman" w:cs="Times New Roman"/>
          <w:sz w:val="24"/>
          <w:szCs w:val="24"/>
        </w:rPr>
        <w:t xml:space="preserve"> the other categories. </w:t>
      </w:r>
      <w:r w:rsidR="00336AD6" w:rsidRPr="00D553E9">
        <w:rPr>
          <w:rFonts w:ascii="Times New Roman" w:eastAsia="Times New Roman" w:hAnsi="Times New Roman" w:cs="Times New Roman"/>
          <w:sz w:val="24"/>
          <w:szCs w:val="24"/>
        </w:rPr>
        <w:t>For example, s</w:t>
      </w:r>
      <w:r w:rsidRPr="00D553E9">
        <w:rPr>
          <w:rFonts w:ascii="Times New Roman" w:eastAsia="Times New Roman" w:hAnsi="Times New Roman" w:cs="Times New Roman"/>
          <w:sz w:val="24"/>
          <w:szCs w:val="24"/>
        </w:rPr>
        <w:t xml:space="preserve">hipping costs for materials </w:t>
      </w:r>
      <w:r w:rsidR="00336AD6" w:rsidRPr="00D553E9">
        <w:rPr>
          <w:rFonts w:ascii="Times New Roman" w:eastAsia="Times New Roman" w:hAnsi="Times New Roman" w:cs="Times New Roman"/>
          <w:sz w:val="24"/>
          <w:szCs w:val="24"/>
        </w:rPr>
        <w:t>and equipment or applicable taxes</w:t>
      </w:r>
      <w:r w:rsidRPr="00D553E9">
        <w:rPr>
          <w:rFonts w:ascii="Times New Roman" w:eastAsia="Times New Roman" w:hAnsi="Times New Roman" w:cs="Times New Roman"/>
          <w:sz w:val="24"/>
          <w:szCs w:val="24"/>
        </w:rPr>
        <w:t>.</w:t>
      </w:r>
      <w:r w:rsidR="00336AD6" w:rsidRPr="00D553E9">
        <w:rPr>
          <w:rFonts w:ascii="Times New Roman" w:eastAsia="Times New Roman" w:hAnsi="Times New Roman" w:cs="Times New Roman"/>
          <w:sz w:val="24"/>
          <w:szCs w:val="24"/>
        </w:rPr>
        <w:t xml:space="preserve"> All </w:t>
      </w:r>
      <w:r w:rsidRPr="00D553E9">
        <w:rPr>
          <w:rFonts w:ascii="Times New Roman" w:eastAsia="Times New Roman" w:hAnsi="Times New Roman" w:cs="Times New Roman"/>
          <w:sz w:val="24"/>
          <w:szCs w:val="24"/>
        </w:rPr>
        <w:t>“Other” or “Miscellaneous” expenses must be itemized and explained.</w:t>
      </w:r>
    </w:p>
    <w:p w14:paraId="44E86539" w14:textId="77777777" w:rsidR="00336AD6" w:rsidRPr="00D553E9"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Indirect Costs:  These are costs that cannot be linked directly to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D553E9">
        <w:rPr>
          <w:rFonts w:ascii="Times New Roman" w:eastAsia="Times New Roman" w:hAnsi="Times New Roman" w:cs="Times New Roman"/>
          <w:sz w:val="24"/>
          <w:szCs w:val="24"/>
        </w:rPr>
        <w:t xml:space="preserve">may </w:t>
      </w:r>
      <w:r w:rsidRPr="00D553E9">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“Cost Sharing” </w:t>
      </w:r>
      <w:r w:rsidR="00336AD6" w:rsidRPr="00D553E9">
        <w:rPr>
          <w:rFonts w:ascii="Times New Roman" w:eastAsia="Times New Roman" w:hAnsi="Times New Roman" w:cs="Times New Roman"/>
          <w:sz w:val="24"/>
          <w:szCs w:val="24"/>
        </w:rPr>
        <w:t xml:space="preserve">refers to contributions from the organization or other entities </w:t>
      </w:r>
      <w:r w:rsidR="004653B3" w:rsidRPr="00D553E9">
        <w:rPr>
          <w:rFonts w:ascii="Times New Roman" w:eastAsia="Times New Roman" w:hAnsi="Times New Roman" w:cs="Times New Roman"/>
          <w:sz w:val="24"/>
          <w:szCs w:val="24"/>
        </w:rPr>
        <w:t xml:space="preserve">other than the U.S. Embassy.  </w:t>
      </w:r>
      <w:r w:rsidRPr="00D553E9">
        <w:rPr>
          <w:rFonts w:ascii="Times New Roman" w:eastAsia="Times New Roman" w:hAnsi="Times New Roman" w:cs="Times New Roman"/>
          <w:sz w:val="24"/>
          <w:szCs w:val="24"/>
        </w:rPr>
        <w:t xml:space="preserve"> It </w:t>
      </w:r>
      <w:r w:rsidR="004653B3" w:rsidRPr="00D553E9">
        <w:rPr>
          <w:rFonts w:ascii="Times New Roman" w:eastAsia="Times New Roman" w:hAnsi="Times New Roman" w:cs="Times New Roman"/>
          <w:sz w:val="24"/>
          <w:szCs w:val="24"/>
        </w:rPr>
        <w:t xml:space="preserve">also </w:t>
      </w:r>
      <w:r w:rsidRPr="00D553E9">
        <w:rPr>
          <w:rFonts w:ascii="Times New Roman" w:eastAsia="Times New Roman" w:hAnsi="Times New Roman" w:cs="Times New Roman"/>
          <w:sz w:val="24"/>
          <w:szCs w:val="24"/>
        </w:rPr>
        <w:t>includes in-kind contrib</w:t>
      </w:r>
      <w:r w:rsidR="004653B3" w:rsidRPr="00D553E9">
        <w:rPr>
          <w:rFonts w:ascii="Times New Roman" w:eastAsia="Times New Roman" w:hAnsi="Times New Roman" w:cs="Times New Roman"/>
          <w:sz w:val="24"/>
          <w:szCs w:val="24"/>
        </w:rPr>
        <w:t>utions such as volunteers’ time and</w:t>
      </w:r>
      <w:r w:rsidRPr="00D553E9">
        <w:rPr>
          <w:rFonts w:ascii="Times New Roman" w:eastAsia="Times New Roman" w:hAnsi="Times New Roman" w:cs="Times New Roman"/>
          <w:sz w:val="24"/>
          <w:szCs w:val="24"/>
        </w:rPr>
        <w:t xml:space="preserve"> donated venues.</w:t>
      </w:r>
    </w:p>
    <w:p w14:paraId="26C48DAA"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sz w:val="24"/>
          <w:szCs w:val="24"/>
        </w:rPr>
        <w:t xml:space="preserve">Alcoholic Beverages:  Please note that </w:t>
      </w:r>
      <w:r w:rsidR="00FD0E36" w:rsidRPr="00D553E9">
        <w:rPr>
          <w:rFonts w:ascii="Times New Roman" w:eastAsia="Times New Roman" w:hAnsi="Times New Roman" w:cs="Times New Roman"/>
          <w:sz w:val="24"/>
          <w:szCs w:val="24"/>
        </w:rPr>
        <w:t xml:space="preserve">award </w:t>
      </w:r>
      <w:r w:rsidR="00336AD6" w:rsidRPr="00D553E9">
        <w:rPr>
          <w:rFonts w:ascii="Times New Roman" w:eastAsia="Times New Roman" w:hAnsi="Times New Roman" w:cs="Times New Roman"/>
          <w:sz w:val="24"/>
          <w:szCs w:val="24"/>
        </w:rPr>
        <w:t>funds</w:t>
      </w:r>
      <w:r w:rsidRPr="00D553E9">
        <w:rPr>
          <w:rFonts w:ascii="Times New Roman" w:eastAsia="Times New Roman" w:hAnsi="Times New Roman" w:cs="Times New Roman"/>
          <w:sz w:val="24"/>
          <w:szCs w:val="24"/>
        </w:rPr>
        <w:t xml:space="preserve"> </w:t>
      </w:r>
      <w:r w:rsidR="00336AD6" w:rsidRPr="00D553E9">
        <w:rPr>
          <w:rFonts w:ascii="Times New Roman" w:eastAsia="Times New Roman" w:hAnsi="Times New Roman" w:cs="Times New Roman"/>
          <w:sz w:val="24"/>
          <w:szCs w:val="24"/>
        </w:rPr>
        <w:t>cannot be used for</w:t>
      </w:r>
      <w:r w:rsidRPr="00D553E9">
        <w:rPr>
          <w:rFonts w:ascii="Times New Roman" w:eastAsia="Times New Roman" w:hAnsi="Times New Roman" w:cs="Times New Roman"/>
          <w:sz w:val="24"/>
          <w:szCs w:val="24"/>
        </w:rPr>
        <w:t xml:space="preserve"> alcoholic beverages</w:t>
      </w:r>
      <w:r w:rsidRPr="00D553E9">
        <w:rPr>
          <w:rFonts w:ascii="Times New Roman" w:eastAsia="Times New Roman" w:hAnsi="Times New Roman" w:cs="Times New Roman"/>
          <w:color w:val="333333"/>
          <w:sz w:val="24"/>
          <w:szCs w:val="24"/>
        </w:rPr>
        <w:t xml:space="preserve">. </w:t>
      </w:r>
    </w:p>
    <w:p w14:paraId="5D7B69E7" w14:textId="77777777" w:rsidR="005A068C" w:rsidRPr="00D553E9" w:rsidRDefault="005A068C">
      <w:pPr>
        <w:rPr>
          <w:rFonts w:ascii="Times New Roman" w:hAnsi="Times New Roman" w:cs="Times New Roman"/>
          <w:sz w:val="24"/>
          <w:szCs w:val="24"/>
        </w:rPr>
      </w:pPr>
    </w:p>
    <w:sectPr w:rsidR="005A068C" w:rsidRPr="00D553E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C1F1" w14:textId="77777777" w:rsidR="00D21648" w:rsidRDefault="00D21648" w:rsidP="00DB74F9">
      <w:pPr>
        <w:spacing w:after="0" w:line="240" w:lineRule="auto"/>
      </w:pPr>
      <w:r>
        <w:separator/>
      </w:r>
    </w:p>
  </w:endnote>
  <w:endnote w:type="continuationSeparator" w:id="0">
    <w:p w14:paraId="6A94EDFE" w14:textId="77777777" w:rsidR="00D21648" w:rsidRDefault="00D21648" w:rsidP="00DB74F9">
      <w:pPr>
        <w:spacing w:after="0" w:line="240" w:lineRule="auto"/>
      </w:pPr>
      <w:r>
        <w:continuationSeparator/>
      </w:r>
    </w:p>
  </w:endnote>
  <w:endnote w:type="continuationNotice" w:id="1">
    <w:p w14:paraId="04779011" w14:textId="77777777" w:rsidR="00D21648" w:rsidRDefault="00D21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F98D" w14:textId="77777777" w:rsidR="00D21648" w:rsidRDefault="00D21648" w:rsidP="00DB74F9">
      <w:pPr>
        <w:spacing w:after="0" w:line="240" w:lineRule="auto"/>
      </w:pPr>
      <w:r>
        <w:separator/>
      </w:r>
    </w:p>
  </w:footnote>
  <w:footnote w:type="continuationSeparator" w:id="0">
    <w:p w14:paraId="0C9149C7" w14:textId="77777777" w:rsidR="00D21648" w:rsidRDefault="00D21648" w:rsidP="00DB74F9">
      <w:pPr>
        <w:spacing w:after="0" w:line="240" w:lineRule="auto"/>
      </w:pPr>
      <w:r>
        <w:continuationSeparator/>
      </w:r>
    </w:p>
  </w:footnote>
  <w:footnote w:type="continuationNotice" w:id="1">
    <w:p w14:paraId="60E79E06" w14:textId="77777777" w:rsidR="00D21648" w:rsidRDefault="00D216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7DA"/>
    <w:multiLevelType w:val="multilevel"/>
    <w:tmpl w:val="34F03736"/>
    <w:styleLink w:val="CurrentList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429"/>
    <w:multiLevelType w:val="hybridMultilevel"/>
    <w:tmpl w:val="FFFFFFFF"/>
    <w:lvl w:ilvl="0" w:tplc="958C9B2E">
      <w:start w:val="1"/>
      <w:numFmt w:val="bullet"/>
      <w:lvlText w:val=""/>
      <w:lvlJc w:val="left"/>
      <w:pPr>
        <w:ind w:left="720" w:hanging="360"/>
      </w:pPr>
      <w:rPr>
        <w:rFonts w:ascii="Symbol" w:hAnsi="Symbol" w:hint="default"/>
      </w:rPr>
    </w:lvl>
    <w:lvl w:ilvl="1" w:tplc="C924DEB8">
      <w:start w:val="1"/>
      <w:numFmt w:val="bullet"/>
      <w:lvlText w:val="o"/>
      <w:lvlJc w:val="left"/>
      <w:pPr>
        <w:ind w:left="1440" w:hanging="360"/>
      </w:pPr>
      <w:rPr>
        <w:rFonts w:ascii="Courier New" w:hAnsi="Courier New" w:hint="default"/>
      </w:rPr>
    </w:lvl>
    <w:lvl w:ilvl="2" w:tplc="C42EAD02">
      <w:start w:val="1"/>
      <w:numFmt w:val="bullet"/>
      <w:lvlText w:val=""/>
      <w:lvlJc w:val="left"/>
      <w:pPr>
        <w:ind w:left="2160" w:hanging="360"/>
      </w:pPr>
      <w:rPr>
        <w:rFonts w:ascii="Wingdings" w:hAnsi="Wingdings" w:hint="default"/>
      </w:rPr>
    </w:lvl>
    <w:lvl w:ilvl="3" w:tplc="B2EA43D4">
      <w:start w:val="1"/>
      <w:numFmt w:val="bullet"/>
      <w:lvlText w:val=""/>
      <w:lvlJc w:val="left"/>
      <w:pPr>
        <w:ind w:left="2880" w:hanging="360"/>
      </w:pPr>
      <w:rPr>
        <w:rFonts w:ascii="Symbol" w:hAnsi="Symbol" w:hint="default"/>
      </w:rPr>
    </w:lvl>
    <w:lvl w:ilvl="4" w:tplc="75325A7E">
      <w:start w:val="1"/>
      <w:numFmt w:val="bullet"/>
      <w:lvlText w:val="o"/>
      <w:lvlJc w:val="left"/>
      <w:pPr>
        <w:ind w:left="3600" w:hanging="360"/>
      </w:pPr>
      <w:rPr>
        <w:rFonts w:ascii="Courier New" w:hAnsi="Courier New" w:hint="default"/>
      </w:rPr>
    </w:lvl>
    <w:lvl w:ilvl="5" w:tplc="2482E854">
      <w:start w:val="1"/>
      <w:numFmt w:val="bullet"/>
      <w:lvlText w:val=""/>
      <w:lvlJc w:val="left"/>
      <w:pPr>
        <w:ind w:left="4320" w:hanging="360"/>
      </w:pPr>
      <w:rPr>
        <w:rFonts w:ascii="Wingdings" w:hAnsi="Wingdings" w:hint="default"/>
      </w:rPr>
    </w:lvl>
    <w:lvl w:ilvl="6" w:tplc="823A55F6">
      <w:start w:val="1"/>
      <w:numFmt w:val="bullet"/>
      <w:lvlText w:val=""/>
      <w:lvlJc w:val="left"/>
      <w:pPr>
        <w:ind w:left="5040" w:hanging="360"/>
      </w:pPr>
      <w:rPr>
        <w:rFonts w:ascii="Symbol" w:hAnsi="Symbol" w:hint="default"/>
      </w:rPr>
    </w:lvl>
    <w:lvl w:ilvl="7" w:tplc="0E4AAE48">
      <w:start w:val="1"/>
      <w:numFmt w:val="bullet"/>
      <w:lvlText w:val="o"/>
      <w:lvlJc w:val="left"/>
      <w:pPr>
        <w:ind w:left="5760" w:hanging="360"/>
      </w:pPr>
      <w:rPr>
        <w:rFonts w:ascii="Courier New" w:hAnsi="Courier New" w:hint="default"/>
      </w:rPr>
    </w:lvl>
    <w:lvl w:ilvl="8" w:tplc="B34266BC">
      <w:start w:val="1"/>
      <w:numFmt w:val="bullet"/>
      <w:lvlText w:val=""/>
      <w:lvlJc w:val="left"/>
      <w:pPr>
        <w:ind w:left="6480" w:hanging="360"/>
      </w:pPr>
      <w:rPr>
        <w:rFonts w:ascii="Wingdings" w:hAnsi="Wingdings" w:hint="default"/>
      </w:rPr>
    </w:lvl>
  </w:abstractNum>
  <w:abstractNum w:abstractNumId="2" w15:restartNumberingAfterBreak="0">
    <w:nsid w:val="070F013F"/>
    <w:multiLevelType w:val="hybridMultilevel"/>
    <w:tmpl w:val="1840D8D4"/>
    <w:lvl w:ilvl="0" w:tplc="A6848808">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5D0E8"/>
    <w:multiLevelType w:val="hybridMultilevel"/>
    <w:tmpl w:val="FFFFFFFF"/>
    <w:lvl w:ilvl="0" w:tplc="17E0382A">
      <w:start w:val="1"/>
      <w:numFmt w:val="bullet"/>
      <w:lvlText w:val=""/>
      <w:lvlJc w:val="left"/>
      <w:pPr>
        <w:ind w:left="720" w:hanging="360"/>
      </w:pPr>
      <w:rPr>
        <w:rFonts w:ascii="Symbol" w:hAnsi="Symbol" w:hint="default"/>
      </w:rPr>
    </w:lvl>
    <w:lvl w:ilvl="1" w:tplc="1B282B80">
      <w:start w:val="1"/>
      <w:numFmt w:val="bullet"/>
      <w:lvlText w:val="o"/>
      <w:lvlJc w:val="left"/>
      <w:pPr>
        <w:ind w:left="1440" w:hanging="360"/>
      </w:pPr>
      <w:rPr>
        <w:rFonts w:ascii="Courier New" w:hAnsi="Courier New" w:hint="default"/>
      </w:rPr>
    </w:lvl>
    <w:lvl w:ilvl="2" w:tplc="3DC8A84C">
      <w:start w:val="1"/>
      <w:numFmt w:val="bullet"/>
      <w:lvlText w:val=""/>
      <w:lvlJc w:val="left"/>
      <w:pPr>
        <w:ind w:left="2160" w:hanging="360"/>
      </w:pPr>
      <w:rPr>
        <w:rFonts w:ascii="Wingdings" w:hAnsi="Wingdings" w:hint="default"/>
      </w:rPr>
    </w:lvl>
    <w:lvl w:ilvl="3" w:tplc="101AF2BE">
      <w:start w:val="1"/>
      <w:numFmt w:val="bullet"/>
      <w:lvlText w:val=""/>
      <w:lvlJc w:val="left"/>
      <w:pPr>
        <w:ind w:left="2880" w:hanging="360"/>
      </w:pPr>
      <w:rPr>
        <w:rFonts w:ascii="Symbol" w:hAnsi="Symbol" w:hint="default"/>
      </w:rPr>
    </w:lvl>
    <w:lvl w:ilvl="4" w:tplc="E6C4813E">
      <w:start w:val="1"/>
      <w:numFmt w:val="bullet"/>
      <w:lvlText w:val="o"/>
      <w:lvlJc w:val="left"/>
      <w:pPr>
        <w:ind w:left="3600" w:hanging="360"/>
      </w:pPr>
      <w:rPr>
        <w:rFonts w:ascii="Courier New" w:hAnsi="Courier New" w:hint="default"/>
      </w:rPr>
    </w:lvl>
    <w:lvl w:ilvl="5" w:tplc="B86E0CB0">
      <w:start w:val="1"/>
      <w:numFmt w:val="bullet"/>
      <w:lvlText w:val=""/>
      <w:lvlJc w:val="left"/>
      <w:pPr>
        <w:ind w:left="4320" w:hanging="360"/>
      </w:pPr>
      <w:rPr>
        <w:rFonts w:ascii="Wingdings" w:hAnsi="Wingdings" w:hint="default"/>
      </w:rPr>
    </w:lvl>
    <w:lvl w:ilvl="6" w:tplc="1316AA82">
      <w:start w:val="1"/>
      <w:numFmt w:val="bullet"/>
      <w:lvlText w:val=""/>
      <w:lvlJc w:val="left"/>
      <w:pPr>
        <w:ind w:left="5040" w:hanging="360"/>
      </w:pPr>
      <w:rPr>
        <w:rFonts w:ascii="Symbol" w:hAnsi="Symbol" w:hint="default"/>
      </w:rPr>
    </w:lvl>
    <w:lvl w:ilvl="7" w:tplc="BAC00A50">
      <w:start w:val="1"/>
      <w:numFmt w:val="bullet"/>
      <w:lvlText w:val="o"/>
      <w:lvlJc w:val="left"/>
      <w:pPr>
        <w:ind w:left="5760" w:hanging="360"/>
      </w:pPr>
      <w:rPr>
        <w:rFonts w:ascii="Courier New" w:hAnsi="Courier New" w:hint="default"/>
      </w:rPr>
    </w:lvl>
    <w:lvl w:ilvl="8" w:tplc="E966937C">
      <w:start w:val="1"/>
      <w:numFmt w:val="bullet"/>
      <w:lvlText w:val=""/>
      <w:lvlJc w:val="left"/>
      <w:pPr>
        <w:ind w:left="6480" w:hanging="360"/>
      </w:pPr>
      <w:rPr>
        <w:rFonts w:ascii="Wingdings" w:hAnsi="Wingdings" w:hint="default"/>
      </w:rPr>
    </w:lvl>
  </w:abstractNum>
  <w:abstractNum w:abstractNumId="4" w15:restartNumberingAfterBreak="0">
    <w:nsid w:val="0FC7725B"/>
    <w:multiLevelType w:val="hybridMultilevel"/>
    <w:tmpl w:val="109ED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329F"/>
    <w:multiLevelType w:val="multilevel"/>
    <w:tmpl w:val="751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2D7571"/>
    <w:multiLevelType w:val="hybridMultilevel"/>
    <w:tmpl w:val="6BB43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C2891D"/>
    <w:multiLevelType w:val="hybridMultilevel"/>
    <w:tmpl w:val="FFFFFFFF"/>
    <w:lvl w:ilvl="0" w:tplc="8A881B32">
      <w:start w:val="1"/>
      <w:numFmt w:val="decimal"/>
      <w:lvlText w:val="%1."/>
      <w:lvlJc w:val="left"/>
      <w:pPr>
        <w:ind w:left="1080" w:hanging="360"/>
      </w:pPr>
    </w:lvl>
    <w:lvl w:ilvl="1" w:tplc="A200590E">
      <w:start w:val="1"/>
      <w:numFmt w:val="lowerLetter"/>
      <w:lvlText w:val="%2."/>
      <w:lvlJc w:val="left"/>
      <w:pPr>
        <w:ind w:left="1800" w:hanging="360"/>
      </w:pPr>
    </w:lvl>
    <w:lvl w:ilvl="2" w:tplc="E9B2EDC8">
      <w:start w:val="1"/>
      <w:numFmt w:val="lowerRoman"/>
      <w:lvlText w:val="%3."/>
      <w:lvlJc w:val="right"/>
      <w:pPr>
        <w:ind w:left="2520" w:hanging="180"/>
      </w:pPr>
    </w:lvl>
    <w:lvl w:ilvl="3" w:tplc="D88E76DA">
      <w:start w:val="1"/>
      <w:numFmt w:val="decimal"/>
      <w:lvlText w:val="%4."/>
      <w:lvlJc w:val="left"/>
      <w:pPr>
        <w:ind w:left="3240" w:hanging="360"/>
      </w:pPr>
    </w:lvl>
    <w:lvl w:ilvl="4" w:tplc="EE1C5F1C">
      <w:start w:val="1"/>
      <w:numFmt w:val="lowerLetter"/>
      <w:lvlText w:val="%5."/>
      <w:lvlJc w:val="left"/>
      <w:pPr>
        <w:ind w:left="3960" w:hanging="360"/>
      </w:pPr>
    </w:lvl>
    <w:lvl w:ilvl="5" w:tplc="3BE05FA2">
      <w:start w:val="1"/>
      <w:numFmt w:val="lowerRoman"/>
      <w:lvlText w:val="%6."/>
      <w:lvlJc w:val="right"/>
      <w:pPr>
        <w:ind w:left="4680" w:hanging="180"/>
      </w:pPr>
    </w:lvl>
    <w:lvl w:ilvl="6" w:tplc="2D78BE22">
      <w:start w:val="1"/>
      <w:numFmt w:val="decimal"/>
      <w:lvlText w:val="%7."/>
      <w:lvlJc w:val="left"/>
      <w:pPr>
        <w:ind w:left="5400" w:hanging="360"/>
      </w:pPr>
    </w:lvl>
    <w:lvl w:ilvl="7" w:tplc="CBE48754">
      <w:start w:val="1"/>
      <w:numFmt w:val="lowerLetter"/>
      <w:lvlText w:val="%8."/>
      <w:lvlJc w:val="left"/>
      <w:pPr>
        <w:ind w:left="6120" w:hanging="360"/>
      </w:pPr>
    </w:lvl>
    <w:lvl w:ilvl="8" w:tplc="12B894F0">
      <w:start w:val="1"/>
      <w:numFmt w:val="lowerRoman"/>
      <w:lvlText w:val="%9."/>
      <w:lvlJc w:val="right"/>
      <w:pPr>
        <w:ind w:left="6840" w:hanging="180"/>
      </w:pPr>
    </w:lvl>
  </w:abstractNum>
  <w:abstractNum w:abstractNumId="10" w15:restartNumberingAfterBreak="0">
    <w:nsid w:val="26A49525"/>
    <w:multiLevelType w:val="hybridMultilevel"/>
    <w:tmpl w:val="D020F2FC"/>
    <w:lvl w:ilvl="0" w:tplc="6818C44A">
      <w:start w:val="1"/>
      <w:numFmt w:val="decimal"/>
      <w:lvlText w:val="%1."/>
      <w:lvlJc w:val="left"/>
      <w:pPr>
        <w:ind w:left="720" w:hanging="360"/>
      </w:pPr>
    </w:lvl>
    <w:lvl w:ilvl="1" w:tplc="BDB694C2">
      <w:start w:val="1"/>
      <w:numFmt w:val="lowerLetter"/>
      <w:lvlText w:val="%2."/>
      <w:lvlJc w:val="left"/>
      <w:pPr>
        <w:ind w:left="1440" w:hanging="360"/>
      </w:pPr>
    </w:lvl>
    <w:lvl w:ilvl="2" w:tplc="5E707072">
      <w:start w:val="1"/>
      <w:numFmt w:val="lowerRoman"/>
      <w:lvlText w:val="%3."/>
      <w:lvlJc w:val="right"/>
      <w:pPr>
        <w:ind w:left="2160" w:hanging="180"/>
      </w:pPr>
    </w:lvl>
    <w:lvl w:ilvl="3" w:tplc="396C4E9E">
      <w:start w:val="1"/>
      <w:numFmt w:val="decimal"/>
      <w:lvlText w:val="%4."/>
      <w:lvlJc w:val="left"/>
      <w:pPr>
        <w:ind w:left="2880" w:hanging="360"/>
      </w:pPr>
    </w:lvl>
    <w:lvl w:ilvl="4" w:tplc="9B4C2640">
      <w:start w:val="1"/>
      <w:numFmt w:val="lowerLetter"/>
      <w:lvlText w:val="%5."/>
      <w:lvlJc w:val="left"/>
      <w:pPr>
        <w:ind w:left="3600" w:hanging="360"/>
      </w:pPr>
    </w:lvl>
    <w:lvl w:ilvl="5" w:tplc="C8ECA8F6">
      <w:start w:val="1"/>
      <w:numFmt w:val="lowerRoman"/>
      <w:lvlText w:val="%6."/>
      <w:lvlJc w:val="right"/>
      <w:pPr>
        <w:ind w:left="4320" w:hanging="180"/>
      </w:pPr>
    </w:lvl>
    <w:lvl w:ilvl="6" w:tplc="928CAC9C">
      <w:start w:val="1"/>
      <w:numFmt w:val="decimal"/>
      <w:lvlText w:val="%7."/>
      <w:lvlJc w:val="left"/>
      <w:pPr>
        <w:ind w:left="5040" w:hanging="360"/>
      </w:pPr>
    </w:lvl>
    <w:lvl w:ilvl="7" w:tplc="7750D1AE">
      <w:start w:val="1"/>
      <w:numFmt w:val="lowerLetter"/>
      <w:lvlText w:val="%8."/>
      <w:lvlJc w:val="left"/>
      <w:pPr>
        <w:ind w:left="5760" w:hanging="360"/>
      </w:pPr>
    </w:lvl>
    <w:lvl w:ilvl="8" w:tplc="8FB8EBC0">
      <w:start w:val="1"/>
      <w:numFmt w:val="lowerRoman"/>
      <w:lvlText w:val="%9."/>
      <w:lvlJc w:val="right"/>
      <w:pPr>
        <w:ind w:left="6480" w:hanging="180"/>
      </w:pPr>
    </w:lvl>
  </w:abstractNum>
  <w:abstractNum w:abstractNumId="11" w15:restartNumberingAfterBreak="0">
    <w:nsid w:val="332D21AF"/>
    <w:multiLevelType w:val="hybridMultilevel"/>
    <w:tmpl w:val="FFFFFFFF"/>
    <w:lvl w:ilvl="0" w:tplc="93D603B2">
      <w:start w:val="1"/>
      <w:numFmt w:val="bullet"/>
      <w:lvlText w:val=""/>
      <w:lvlJc w:val="left"/>
      <w:pPr>
        <w:ind w:left="720" w:hanging="360"/>
      </w:pPr>
      <w:rPr>
        <w:rFonts w:ascii="Symbol" w:hAnsi="Symbol" w:hint="default"/>
      </w:rPr>
    </w:lvl>
    <w:lvl w:ilvl="1" w:tplc="2CB43970">
      <w:start w:val="1"/>
      <w:numFmt w:val="bullet"/>
      <w:lvlText w:val="o"/>
      <w:lvlJc w:val="left"/>
      <w:pPr>
        <w:ind w:left="1440" w:hanging="360"/>
      </w:pPr>
      <w:rPr>
        <w:rFonts w:ascii="Courier New" w:hAnsi="Courier New" w:hint="default"/>
      </w:rPr>
    </w:lvl>
    <w:lvl w:ilvl="2" w:tplc="0EAC2646">
      <w:start w:val="1"/>
      <w:numFmt w:val="bullet"/>
      <w:lvlText w:val=""/>
      <w:lvlJc w:val="left"/>
      <w:pPr>
        <w:ind w:left="2160" w:hanging="360"/>
      </w:pPr>
      <w:rPr>
        <w:rFonts w:ascii="Wingdings" w:hAnsi="Wingdings" w:hint="default"/>
      </w:rPr>
    </w:lvl>
    <w:lvl w:ilvl="3" w:tplc="A17A35CC">
      <w:start w:val="1"/>
      <w:numFmt w:val="bullet"/>
      <w:lvlText w:val=""/>
      <w:lvlJc w:val="left"/>
      <w:pPr>
        <w:ind w:left="2880" w:hanging="360"/>
      </w:pPr>
      <w:rPr>
        <w:rFonts w:ascii="Symbol" w:hAnsi="Symbol" w:hint="default"/>
      </w:rPr>
    </w:lvl>
    <w:lvl w:ilvl="4" w:tplc="65A27C56">
      <w:start w:val="1"/>
      <w:numFmt w:val="bullet"/>
      <w:lvlText w:val="o"/>
      <w:lvlJc w:val="left"/>
      <w:pPr>
        <w:ind w:left="3600" w:hanging="360"/>
      </w:pPr>
      <w:rPr>
        <w:rFonts w:ascii="Courier New" w:hAnsi="Courier New" w:hint="default"/>
      </w:rPr>
    </w:lvl>
    <w:lvl w:ilvl="5" w:tplc="51743216">
      <w:start w:val="1"/>
      <w:numFmt w:val="bullet"/>
      <w:lvlText w:val=""/>
      <w:lvlJc w:val="left"/>
      <w:pPr>
        <w:ind w:left="4320" w:hanging="360"/>
      </w:pPr>
      <w:rPr>
        <w:rFonts w:ascii="Wingdings" w:hAnsi="Wingdings" w:hint="default"/>
      </w:rPr>
    </w:lvl>
    <w:lvl w:ilvl="6" w:tplc="DCC4C8A2">
      <w:start w:val="1"/>
      <w:numFmt w:val="bullet"/>
      <w:lvlText w:val=""/>
      <w:lvlJc w:val="left"/>
      <w:pPr>
        <w:ind w:left="5040" w:hanging="360"/>
      </w:pPr>
      <w:rPr>
        <w:rFonts w:ascii="Symbol" w:hAnsi="Symbol" w:hint="default"/>
      </w:rPr>
    </w:lvl>
    <w:lvl w:ilvl="7" w:tplc="62E45B60">
      <w:start w:val="1"/>
      <w:numFmt w:val="bullet"/>
      <w:lvlText w:val="o"/>
      <w:lvlJc w:val="left"/>
      <w:pPr>
        <w:ind w:left="5760" w:hanging="360"/>
      </w:pPr>
      <w:rPr>
        <w:rFonts w:ascii="Courier New" w:hAnsi="Courier New" w:hint="default"/>
      </w:rPr>
    </w:lvl>
    <w:lvl w:ilvl="8" w:tplc="080E43CC">
      <w:start w:val="1"/>
      <w:numFmt w:val="bullet"/>
      <w:lvlText w:val=""/>
      <w:lvlJc w:val="left"/>
      <w:pPr>
        <w:ind w:left="6480" w:hanging="360"/>
      </w:pPr>
      <w:rPr>
        <w:rFonts w:ascii="Wingdings" w:hAnsi="Wingdings" w:hint="default"/>
      </w:rPr>
    </w:lvl>
  </w:abstractNum>
  <w:abstractNum w:abstractNumId="12" w15:restartNumberingAfterBreak="0">
    <w:nsid w:val="34281F77"/>
    <w:multiLevelType w:val="hybridMultilevel"/>
    <w:tmpl w:val="B7782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50AA1"/>
    <w:multiLevelType w:val="hybridMultilevel"/>
    <w:tmpl w:val="FFFFFFFF"/>
    <w:lvl w:ilvl="0" w:tplc="0D18D5D6">
      <w:start w:val="1"/>
      <w:numFmt w:val="decimal"/>
      <w:lvlText w:val="%1."/>
      <w:lvlJc w:val="left"/>
      <w:pPr>
        <w:ind w:left="1080" w:hanging="360"/>
      </w:pPr>
    </w:lvl>
    <w:lvl w:ilvl="1" w:tplc="14824416">
      <w:start w:val="1"/>
      <w:numFmt w:val="lowerLetter"/>
      <w:lvlText w:val="%2."/>
      <w:lvlJc w:val="left"/>
      <w:pPr>
        <w:ind w:left="1800" w:hanging="360"/>
      </w:pPr>
    </w:lvl>
    <w:lvl w:ilvl="2" w:tplc="67F47D1C">
      <w:start w:val="1"/>
      <w:numFmt w:val="lowerRoman"/>
      <w:lvlText w:val="%3."/>
      <w:lvlJc w:val="right"/>
      <w:pPr>
        <w:ind w:left="2520" w:hanging="180"/>
      </w:pPr>
    </w:lvl>
    <w:lvl w:ilvl="3" w:tplc="F6E2C5D0">
      <w:start w:val="1"/>
      <w:numFmt w:val="decimal"/>
      <w:lvlText w:val="%4."/>
      <w:lvlJc w:val="left"/>
      <w:pPr>
        <w:ind w:left="3240" w:hanging="360"/>
      </w:pPr>
    </w:lvl>
    <w:lvl w:ilvl="4" w:tplc="5F40B580">
      <w:start w:val="1"/>
      <w:numFmt w:val="lowerLetter"/>
      <w:lvlText w:val="%5."/>
      <w:lvlJc w:val="left"/>
      <w:pPr>
        <w:ind w:left="3960" w:hanging="360"/>
      </w:pPr>
    </w:lvl>
    <w:lvl w:ilvl="5" w:tplc="70AAC67E">
      <w:start w:val="1"/>
      <w:numFmt w:val="lowerRoman"/>
      <w:lvlText w:val="%6."/>
      <w:lvlJc w:val="right"/>
      <w:pPr>
        <w:ind w:left="4680" w:hanging="180"/>
      </w:pPr>
    </w:lvl>
    <w:lvl w:ilvl="6" w:tplc="4E104F00">
      <w:start w:val="1"/>
      <w:numFmt w:val="decimal"/>
      <w:lvlText w:val="%7."/>
      <w:lvlJc w:val="left"/>
      <w:pPr>
        <w:ind w:left="5400" w:hanging="360"/>
      </w:pPr>
    </w:lvl>
    <w:lvl w:ilvl="7" w:tplc="3B581A62">
      <w:start w:val="1"/>
      <w:numFmt w:val="lowerLetter"/>
      <w:lvlText w:val="%8."/>
      <w:lvlJc w:val="left"/>
      <w:pPr>
        <w:ind w:left="6120" w:hanging="360"/>
      </w:pPr>
    </w:lvl>
    <w:lvl w:ilvl="8" w:tplc="A47CAA56">
      <w:start w:val="1"/>
      <w:numFmt w:val="lowerRoman"/>
      <w:lvlText w:val="%9."/>
      <w:lvlJc w:val="right"/>
      <w:pPr>
        <w:ind w:left="6840" w:hanging="180"/>
      </w:pPr>
    </w:lvl>
  </w:abstractNum>
  <w:abstractNum w:abstractNumId="14"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538BB3"/>
    <w:multiLevelType w:val="hybridMultilevel"/>
    <w:tmpl w:val="FFFFFFFF"/>
    <w:lvl w:ilvl="0" w:tplc="D502507A">
      <w:start w:val="1"/>
      <w:numFmt w:val="decimal"/>
      <w:lvlText w:val="%1."/>
      <w:lvlJc w:val="left"/>
      <w:pPr>
        <w:ind w:left="1080" w:hanging="360"/>
      </w:pPr>
    </w:lvl>
    <w:lvl w:ilvl="1" w:tplc="E35CCF86">
      <w:start w:val="1"/>
      <w:numFmt w:val="lowerLetter"/>
      <w:lvlText w:val="%2."/>
      <w:lvlJc w:val="left"/>
      <w:pPr>
        <w:ind w:left="1800" w:hanging="360"/>
      </w:pPr>
    </w:lvl>
    <w:lvl w:ilvl="2" w:tplc="F7B81A0E">
      <w:start w:val="1"/>
      <w:numFmt w:val="lowerRoman"/>
      <w:lvlText w:val="%3."/>
      <w:lvlJc w:val="right"/>
      <w:pPr>
        <w:ind w:left="2520" w:hanging="180"/>
      </w:pPr>
    </w:lvl>
    <w:lvl w:ilvl="3" w:tplc="DFF451B4">
      <w:start w:val="1"/>
      <w:numFmt w:val="decimal"/>
      <w:lvlText w:val="%4."/>
      <w:lvlJc w:val="left"/>
      <w:pPr>
        <w:ind w:left="3240" w:hanging="360"/>
      </w:pPr>
    </w:lvl>
    <w:lvl w:ilvl="4" w:tplc="C958F002">
      <w:start w:val="1"/>
      <w:numFmt w:val="lowerLetter"/>
      <w:lvlText w:val="%5."/>
      <w:lvlJc w:val="left"/>
      <w:pPr>
        <w:ind w:left="3960" w:hanging="360"/>
      </w:pPr>
    </w:lvl>
    <w:lvl w:ilvl="5" w:tplc="0D9A0F4A">
      <w:start w:val="1"/>
      <w:numFmt w:val="lowerRoman"/>
      <w:lvlText w:val="%6."/>
      <w:lvlJc w:val="right"/>
      <w:pPr>
        <w:ind w:left="4680" w:hanging="180"/>
      </w:pPr>
    </w:lvl>
    <w:lvl w:ilvl="6" w:tplc="D304DA48">
      <w:start w:val="1"/>
      <w:numFmt w:val="decimal"/>
      <w:lvlText w:val="%7."/>
      <w:lvlJc w:val="left"/>
      <w:pPr>
        <w:ind w:left="5400" w:hanging="360"/>
      </w:pPr>
    </w:lvl>
    <w:lvl w:ilvl="7" w:tplc="8FD66ED2">
      <w:start w:val="1"/>
      <w:numFmt w:val="lowerLetter"/>
      <w:lvlText w:val="%8."/>
      <w:lvlJc w:val="left"/>
      <w:pPr>
        <w:ind w:left="6120" w:hanging="360"/>
      </w:pPr>
    </w:lvl>
    <w:lvl w:ilvl="8" w:tplc="D234C0C6">
      <w:start w:val="1"/>
      <w:numFmt w:val="lowerRoman"/>
      <w:lvlText w:val="%9."/>
      <w:lvlJc w:val="right"/>
      <w:pPr>
        <w:ind w:left="6840" w:hanging="180"/>
      </w:pPr>
    </w:lvl>
  </w:abstractNum>
  <w:abstractNum w:abstractNumId="16" w15:restartNumberingAfterBreak="0">
    <w:nsid w:val="3B8EA7FA"/>
    <w:multiLevelType w:val="hybridMultilevel"/>
    <w:tmpl w:val="FFFFFFFF"/>
    <w:lvl w:ilvl="0" w:tplc="7FE84C24">
      <w:start w:val="1"/>
      <w:numFmt w:val="bullet"/>
      <w:lvlText w:val=""/>
      <w:lvlJc w:val="left"/>
      <w:pPr>
        <w:ind w:left="720" w:hanging="360"/>
      </w:pPr>
      <w:rPr>
        <w:rFonts w:ascii="Symbol" w:hAnsi="Symbol" w:hint="default"/>
      </w:rPr>
    </w:lvl>
    <w:lvl w:ilvl="1" w:tplc="714857F6">
      <w:start w:val="1"/>
      <w:numFmt w:val="bullet"/>
      <w:lvlText w:val="o"/>
      <w:lvlJc w:val="left"/>
      <w:pPr>
        <w:ind w:left="1440" w:hanging="360"/>
      </w:pPr>
      <w:rPr>
        <w:rFonts w:ascii="Courier New" w:hAnsi="Courier New" w:hint="default"/>
      </w:rPr>
    </w:lvl>
    <w:lvl w:ilvl="2" w:tplc="01568BF0">
      <w:start w:val="1"/>
      <w:numFmt w:val="bullet"/>
      <w:lvlText w:val=""/>
      <w:lvlJc w:val="left"/>
      <w:pPr>
        <w:ind w:left="2160" w:hanging="360"/>
      </w:pPr>
      <w:rPr>
        <w:rFonts w:ascii="Wingdings" w:hAnsi="Wingdings" w:hint="default"/>
      </w:rPr>
    </w:lvl>
    <w:lvl w:ilvl="3" w:tplc="DBD4E1BE">
      <w:start w:val="1"/>
      <w:numFmt w:val="bullet"/>
      <w:lvlText w:val=""/>
      <w:lvlJc w:val="left"/>
      <w:pPr>
        <w:ind w:left="2880" w:hanging="360"/>
      </w:pPr>
      <w:rPr>
        <w:rFonts w:ascii="Symbol" w:hAnsi="Symbol" w:hint="default"/>
      </w:rPr>
    </w:lvl>
    <w:lvl w:ilvl="4" w:tplc="FC5616E6">
      <w:start w:val="1"/>
      <w:numFmt w:val="bullet"/>
      <w:lvlText w:val="o"/>
      <w:lvlJc w:val="left"/>
      <w:pPr>
        <w:ind w:left="3600" w:hanging="360"/>
      </w:pPr>
      <w:rPr>
        <w:rFonts w:ascii="Courier New" w:hAnsi="Courier New" w:hint="default"/>
      </w:rPr>
    </w:lvl>
    <w:lvl w:ilvl="5" w:tplc="F18C19F0">
      <w:start w:val="1"/>
      <w:numFmt w:val="bullet"/>
      <w:lvlText w:val=""/>
      <w:lvlJc w:val="left"/>
      <w:pPr>
        <w:ind w:left="4320" w:hanging="360"/>
      </w:pPr>
      <w:rPr>
        <w:rFonts w:ascii="Wingdings" w:hAnsi="Wingdings" w:hint="default"/>
      </w:rPr>
    </w:lvl>
    <w:lvl w:ilvl="6" w:tplc="7EDE78F8">
      <w:start w:val="1"/>
      <w:numFmt w:val="bullet"/>
      <w:lvlText w:val=""/>
      <w:lvlJc w:val="left"/>
      <w:pPr>
        <w:ind w:left="5040" w:hanging="360"/>
      </w:pPr>
      <w:rPr>
        <w:rFonts w:ascii="Symbol" w:hAnsi="Symbol" w:hint="default"/>
      </w:rPr>
    </w:lvl>
    <w:lvl w:ilvl="7" w:tplc="1D0E09C6">
      <w:start w:val="1"/>
      <w:numFmt w:val="bullet"/>
      <w:lvlText w:val="o"/>
      <w:lvlJc w:val="left"/>
      <w:pPr>
        <w:ind w:left="5760" w:hanging="360"/>
      </w:pPr>
      <w:rPr>
        <w:rFonts w:ascii="Courier New" w:hAnsi="Courier New" w:hint="default"/>
      </w:rPr>
    </w:lvl>
    <w:lvl w:ilvl="8" w:tplc="4D80959C">
      <w:start w:val="1"/>
      <w:numFmt w:val="bullet"/>
      <w:lvlText w:val=""/>
      <w:lvlJc w:val="left"/>
      <w:pPr>
        <w:ind w:left="6480" w:hanging="360"/>
      </w:pPr>
      <w:rPr>
        <w:rFonts w:ascii="Wingdings" w:hAnsi="Wingdings" w:hint="default"/>
      </w:rPr>
    </w:lvl>
  </w:abstractNum>
  <w:abstractNum w:abstractNumId="1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5654BB"/>
    <w:multiLevelType w:val="hybridMultilevel"/>
    <w:tmpl w:val="C334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010F2"/>
    <w:multiLevelType w:val="hybridMultilevel"/>
    <w:tmpl w:val="FFFFFFFF"/>
    <w:lvl w:ilvl="0" w:tplc="C72A5242">
      <w:start w:val="1"/>
      <w:numFmt w:val="bullet"/>
      <w:lvlText w:val=""/>
      <w:lvlJc w:val="left"/>
      <w:pPr>
        <w:ind w:left="720" w:hanging="360"/>
      </w:pPr>
      <w:rPr>
        <w:rFonts w:ascii="Symbol" w:hAnsi="Symbol" w:hint="default"/>
      </w:rPr>
    </w:lvl>
    <w:lvl w:ilvl="1" w:tplc="11E4D0F0">
      <w:start w:val="1"/>
      <w:numFmt w:val="bullet"/>
      <w:lvlText w:val="o"/>
      <w:lvlJc w:val="left"/>
      <w:pPr>
        <w:ind w:left="1440" w:hanging="360"/>
      </w:pPr>
      <w:rPr>
        <w:rFonts w:ascii="Courier New" w:hAnsi="Courier New" w:hint="default"/>
      </w:rPr>
    </w:lvl>
    <w:lvl w:ilvl="2" w:tplc="13201E0C">
      <w:start w:val="1"/>
      <w:numFmt w:val="bullet"/>
      <w:lvlText w:val=""/>
      <w:lvlJc w:val="left"/>
      <w:pPr>
        <w:ind w:left="2160" w:hanging="360"/>
      </w:pPr>
      <w:rPr>
        <w:rFonts w:ascii="Wingdings" w:hAnsi="Wingdings" w:hint="default"/>
      </w:rPr>
    </w:lvl>
    <w:lvl w:ilvl="3" w:tplc="2DB85C62">
      <w:start w:val="1"/>
      <w:numFmt w:val="bullet"/>
      <w:lvlText w:val=""/>
      <w:lvlJc w:val="left"/>
      <w:pPr>
        <w:ind w:left="2880" w:hanging="360"/>
      </w:pPr>
      <w:rPr>
        <w:rFonts w:ascii="Symbol" w:hAnsi="Symbol" w:hint="default"/>
      </w:rPr>
    </w:lvl>
    <w:lvl w:ilvl="4" w:tplc="A610681E">
      <w:start w:val="1"/>
      <w:numFmt w:val="bullet"/>
      <w:lvlText w:val="o"/>
      <w:lvlJc w:val="left"/>
      <w:pPr>
        <w:ind w:left="3600" w:hanging="360"/>
      </w:pPr>
      <w:rPr>
        <w:rFonts w:ascii="Courier New" w:hAnsi="Courier New" w:hint="default"/>
      </w:rPr>
    </w:lvl>
    <w:lvl w:ilvl="5" w:tplc="C7E65E46">
      <w:start w:val="1"/>
      <w:numFmt w:val="bullet"/>
      <w:lvlText w:val=""/>
      <w:lvlJc w:val="left"/>
      <w:pPr>
        <w:ind w:left="4320" w:hanging="360"/>
      </w:pPr>
      <w:rPr>
        <w:rFonts w:ascii="Wingdings" w:hAnsi="Wingdings" w:hint="default"/>
      </w:rPr>
    </w:lvl>
    <w:lvl w:ilvl="6" w:tplc="FCCCD494">
      <w:start w:val="1"/>
      <w:numFmt w:val="bullet"/>
      <w:lvlText w:val=""/>
      <w:lvlJc w:val="left"/>
      <w:pPr>
        <w:ind w:left="5040" w:hanging="360"/>
      </w:pPr>
      <w:rPr>
        <w:rFonts w:ascii="Symbol" w:hAnsi="Symbol" w:hint="default"/>
      </w:rPr>
    </w:lvl>
    <w:lvl w:ilvl="7" w:tplc="E13EBE6C">
      <w:start w:val="1"/>
      <w:numFmt w:val="bullet"/>
      <w:lvlText w:val="o"/>
      <w:lvlJc w:val="left"/>
      <w:pPr>
        <w:ind w:left="5760" w:hanging="360"/>
      </w:pPr>
      <w:rPr>
        <w:rFonts w:ascii="Courier New" w:hAnsi="Courier New" w:hint="default"/>
      </w:rPr>
    </w:lvl>
    <w:lvl w:ilvl="8" w:tplc="C3BA38B6">
      <w:start w:val="1"/>
      <w:numFmt w:val="bullet"/>
      <w:lvlText w:val=""/>
      <w:lvlJc w:val="left"/>
      <w:pPr>
        <w:ind w:left="6480" w:hanging="360"/>
      </w:pPr>
      <w:rPr>
        <w:rFonts w:ascii="Wingdings" w:hAnsi="Wingdings" w:hint="default"/>
      </w:rPr>
    </w:lvl>
  </w:abstractNum>
  <w:abstractNum w:abstractNumId="20" w15:restartNumberingAfterBreak="0">
    <w:nsid w:val="59705867"/>
    <w:multiLevelType w:val="hybridMultilevel"/>
    <w:tmpl w:val="C3A080C0"/>
    <w:lvl w:ilvl="0" w:tplc="D34484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872E0"/>
    <w:multiLevelType w:val="hybridMultilevel"/>
    <w:tmpl w:val="E4D2FE94"/>
    <w:lvl w:ilvl="0" w:tplc="18E6B7A0">
      <w:start w:val="1"/>
      <w:numFmt w:val="decimal"/>
      <w:lvlText w:val="%1."/>
      <w:lvlJc w:val="left"/>
      <w:pPr>
        <w:ind w:left="720" w:hanging="360"/>
      </w:pPr>
    </w:lvl>
    <w:lvl w:ilvl="1" w:tplc="1872513A">
      <w:start w:val="1"/>
      <w:numFmt w:val="lowerLetter"/>
      <w:lvlText w:val="%2."/>
      <w:lvlJc w:val="left"/>
      <w:pPr>
        <w:ind w:left="1440" w:hanging="360"/>
      </w:pPr>
    </w:lvl>
    <w:lvl w:ilvl="2" w:tplc="A6A6B394">
      <w:start w:val="1"/>
      <w:numFmt w:val="lowerRoman"/>
      <w:lvlText w:val="%3."/>
      <w:lvlJc w:val="right"/>
      <w:pPr>
        <w:ind w:left="2160" w:hanging="180"/>
      </w:pPr>
    </w:lvl>
    <w:lvl w:ilvl="3" w:tplc="ADEE227C">
      <w:start w:val="1"/>
      <w:numFmt w:val="decimal"/>
      <w:lvlText w:val="%4."/>
      <w:lvlJc w:val="left"/>
      <w:pPr>
        <w:ind w:left="2880" w:hanging="360"/>
      </w:pPr>
    </w:lvl>
    <w:lvl w:ilvl="4" w:tplc="466C1FD6">
      <w:start w:val="1"/>
      <w:numFmt w:val="lowerLetter"/>
      <w:lvlText w:val="%5."/>
      <w:lvlJc w:val="left"/>
      <w:pPr>
        <w:ind w:left="3600" w:hanging="360"/>
      </w:pPr>
    </w:lvl>
    <w:lvl w:ilvl="5" w:tplc="C4989A3A">
      <w:start w:val="1"/>
      <w:numFmt w:val="lowerRoman"/>
      <w:lvlText w:val="%6."/>
      <w:lvlJc w:val="right"/>
      <w:pPr>
        <w:ind w:left="4320" w:hanging="180"/>
      </w:pPr>
    </w:lvl>
    <w:lvl w:ilvl="6" w:tplc="3E7A248E">
      <w:start w:val="1"/>
      <w:numFmt w:val="decimal"/>
      <w:lvlText w:val="%7."/>
      <w:lvlJc w:val="left"/>
      <w:pPr>
        <w:ind w:left="5040" w:hanging="360"/>
      </w:pPr>
    </w:lvl>
    <w:lvl w:ilvl="7" w:tplc="A772719C">
      <w:start w:val="1"/>
      <w:numFmt w:val="lowerLetter"/>
      <w:lvlText w:val="%8."/>
      <w:lvlJc w:val="left"/>
      <w:pPr>
        <w:ind w:left="5760" w:hanging="360"/>
      </w:pPr>
    </w:lvl>
    <w:lvl w:ilvl="8" w:tplc="F5FEA5D0">
      <w:start w:val="1"/>
      <w:numFmt w:val="lowerRoman"/>
      <w:lvlText w:val="%9."/>
      <w:lvlJc w:val="right"/>
      <w:pPr>
        <w:ind w:left="6480" w:hanging="180"/>
      </w:pPr>
    </w:lvl>
  </w:abstractNum>
  <w:abstractNum w:abstractNumId="22" w15:restartNumberingAfterBreak="0">
    <w:nsid w:val="5B935FB7"/>
    <w:multiLevelType w:val="multilevel"/>
    <w:tmpl w:val="7F3A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FA816"/>
    <w:multiLevelType w:val="hybridMultilevel"/>
    <w:tmpl w:val="FFFFFFFF"/>
    <w:lvl w:ilvl="0" w:tplc="E13AEFAA">
      <w:start w:val="1"/>
      <w:numFmt w:val="bullet"/>
      <w:lvlText w:val=""/>
      <w:lvlJc w:val="left"/>
      <w:pPr>
        <w:ind w:left="720" w:hanging="360"/>
      </w:pPr>
      <w:rPr>
        <w:rFonts w:ascii="Symbol" w:hAnsi="Symbol" w:hint="default"/>
      </w:rPr>
    </w:lvl>
    <w:lvl w:ilvl="1" w:tplc="D1204006">
      <w:start w:val="1"/>
      <w:numFmt w:val="bullet"/>
      <w:lvlText w:val="o"/>
      <w:lvlJc w:val="left"/>
      <w:pPr>
        <w:ind w:left="1440" w:hanging="360"/>
      </w:pPr>
      <w:rPr>
        <w:rFonts w:ascii="Courier New" w:hAnsi="Courier New" w:hint="default"/>
      </w:rPr>
    </w:lvl>
    <w:lvl w:ilvl="2" w:tplc="96D4CC9E">
      <w:start w:val="1"/>
      <w:numFmt w:val="bullet"/>
      <w:lvlText w:val=""/>
      <w:lvlJc w:val="left"/>
      <w:pPr>
        <w:ind w:left="2160" w:hanging="360"/>
      </w:pPr>
      <w:rPr>
        <w:rFonts w:ascii="Wingdings" w:hAnsi="Wingdings" w:hint="default"/>
      </w:rPr>
    </w:lvl>
    <w:lvl w:ilvl="3" w:tplc="5F6E9640">
      <w:start w:val="1"/>
      <w:numFmt w:val="bullet"/>
      <w:lvlText w:val=""/>
      <w:lvlJc w:val="left"/>
      <w:pPr>
        <w:ind w:left="2880" w:hanging="360"/>
      </w:pPr>
      <w:rPr>
        <w:rFonts w:ascii="Symbol" w:hAnsi="Symbol" w:hint="default"/>
      </w:rPr>
    </w:lvl>
    <w:lvl w:ilvl="4" w:tplc="891C6DDA">
      <w:start w:val="1"/>
      <w:numFmt w:val="bullet"/>
      <w:lvlText w:val="o"/>
      <w:lvlJc w:val="left"/>
      <w:pPr>
        <w:ind w:left="3600" w:hanging="360"/>
      </w:pPr>
      <w:rPr>
        <w:rFonts w:ascii="Courier New" w:hAnsi="Courier New" w:hint="default"/>
      </w:rPr>
    </w:lvl>
    <w:lvl w:ilvl="5" w:tplc="B7105D62">
      <w:start w:val="1"/>
      <w:numFmt w:val="bullet"/>
      <w:lvlText w:val=""/>
      <w:lvlJc w:val="left"/>
      <w:pPr>
        <w:ind w:left="4320" w:hanging="360"/>
      </w:pPr>
      <w:rPr>
        <w:rFonts w:ascii="Wingdings" w:hAnsi="Wingdings" w:hint="default"/>
      </w:rPr>
    </w:lvl>
    <w:lvl w:ilvl="6" w:tplc="DD92D966">
      <w:start w:val="1"/>
      <w:numFmt w:val="bullet"/>
      <w:lvlText w:val=""/>
      <w:lvlJc w:val="left"/>
      <w:pPr>
        <w:ind w:left="5040" w:hanging="360"/>
      </w:pPr>
      <w:rPr>
        <w:rFonts w:ascii="Symbol" w:hAnsi="Symbol" w:hint="default"/>
      </w:rPr>
    </w:lvl>
    <w:lvl w:ilvl="7" w:tplc="DB7CD860">
      <w:start w:val="1"/>
      <w:numFmt w:val="bullet"/>
      <w:lvlText w:val="o"/>
      <w:lvlJc w:val="left"/>
      <w:pPr>
        <w:ind w:left="5760" w:hanging="360"/>
      </w:pPr>
      <w:rPr>
        <w:rFonts w:ascii="Courier New" w:hAnsi="Courier New" w:hint="default"/>
      </w:rPr>
    </w:lvl>
    <w:lvl w:ilvl="8" w:tplc="9D925D0E">
      <w:start w:val="1"/>
      <w:numFmt w:val="bullet"/>
      <w:lvlText w:val=""/>
      <w:lvlJc w:val="left"/>
      <w:pPr>
        <w:ind w:left="6480" w:hanging="360"/>
      </w:pPr>
      <w:rPr>
        <w:rFonts w:ascii="Wingdings" w:hAnsi="Wingdings" w:hint="default"/>
      </w:rPr>
    </w:lvl>
  </w:abstractNum>
  <w:abstractNum w:abstractNumId="2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EBD193"/>
    <w:multiLevelType w:val="hybridMultilevel"/>
    <w:tmpl w:val="CF543DD0"/>
    <w:lvl w:ilvl="0" w:tplc="E7E041B8">
      <w:start w:val="1"/>
      <w:numFmt w:val="decimal"/>
      <w:lvlText w:val="%1."/>
      <w:lvlJc w:val="left"/>
      <w:pPr>
        <w:ind w:left="720" w:hanging="360"/>
      </w:pPr>
    </w:lvl>
    <w:lvl w:ilvl="1" w:tplc="BF582746">
      <w:start w:val="1"/>
      <w:numFmt w:val="lowerLetter"/>
      <w:lvlText w:val="%2."/>
      <w:lvlJc w:val="left"/>
      <w:pPr>
        <w:ind w:left="1440" w:hanging="360"/>
      </w:pPr>
    </w:lvl>
    <w:lvl w:ilvl="2" w:tplc="EC4812B6">
      <w:start w:val="1"/>
      <w:numFmt w:val="lowerRoman"/>
      <w:lvlText w:val="%3."/>
      <w:lvlJc w:val="right"/>
      <w:pPr>
        <w:ind w:left="2160" w:hanging="180"/>
      </w:pPr>
    </w:lvl>
    <w:lvl w:ilvl="3" w:tplc="4C828A2A">
      <w:start w:val="1"/>
      <w:numFmt w:val="decimal"/>
      <w:lvlText w:val="%4."/>
      <w:lvlJc w:val="left"/>
      <w:pPr>
        <w:ind w:left="2880" w:hanging="360"/>
      </w:pPr>
    </w:lvl>
    <w:lvl w:ilvl="4" w:tplc="ED56B872">
      <w:start w:val="1"/>
      <w:numFmt w:val="lowerLetter"/>
      <w:lvlText w:val="%5."/>
      <w:lvlJc w:val="left"/>
      <w:pPr>
        <w:ind w:left="3600" w:hanging="360"/>
      </w:pPr>
    </w:lvl>
    <w:lvl w:ilvl="5" w:tplc="8EA4C8A6">
      <w:start w:val="1"/>
      <w:numFmt w:val="lowerRoman"/>
      <w:lvlText w:val="%6."/>
      <w:lvlJc w:val="right"/>
      <w:pPr>
        <w:ind w:left="4320" w:hanging="180"/>
      </w:pPr>
    </w:lvl>
    <w:lvl w:ilvl="6" w:tplc="2A182B14">
      <w:start w:val="1"/>
      <w:numFmt w:val="decimal"/>
      <w:lvlText w:val="%7."/>
      <w:lvlJc w:val="left"/>
      <w:pPr>
        <w:ind w:left="5040" w:hanging="360"/>
      </w:pPr>
    </w:lvl>
    <w:lvl w:ilvl="7" w:tplc="0670697C">
      <w:start w:val="1"/>
      <w:numFmt w:val="lowerLetter"/>
      <w:lvlText w:val="%8."/>
      <w:lvlJc w:val="left"/>
      <w:pPr>
        <w:ind w:left="5760" w:hanging="360"/>
      </w:pPr>
    </w:lvl>
    <w:lvl w:ilvl="8" w:tplc="30DA9FE6">
      <w:start w:val="1"/>
      <w:numFmt w:val="lowerRoman"/>
      <w:lvlText w:val="%9."/>
      <w:lvlJc w:val="right"/>
      <w:pPr>
        <w:ind w:left="6480" w:hanging="180"/>
      </w:pPr>
    </w:lvl>
  </w:abstractNum>
  <w:abstractNum w:abstractNumId="26" w15:restartNumberingAfterBreak="0">
    <w:nsid w:val="6CA0753D"/>
    <w:multiLevelType w:val="hybridMultilevel"/>
    <w:tmpl w:val="FFFFFFFF"/>
    <w:lvl w:ilvl="0" w:tplc="E8360F2C">
      <w:start w:val="1"/>
      <w:numFmt w:val="bullet"/>
      <w:lvlText w:val=""/>
      <w:lvlJc w:val="left"/>
      <w:pPr>
        <w:ind w:left="720" w:hanging="360"/>
      </w:pPr>
      <w:rPr>
        <w:rFonts w:ascii="Symbol" w:hAnsi="Symbol" w:hint="default"/>
      </w:rPr>
    </w:lvl>
    <w:lvl w:ilvl="1" w:tplc="87009E78">
      <w:start w:val="1"/>
      <w:numFmt w:val="bullet"/>
      <w:lvlText w:val="o"/>
      <w:lvlJc w:val="left"/>
      <w:pPr>
        <w:ind w:left="1440" w:hanging="360"/>
      </w:pPr>
      <w:rPr>
        <w:rFonts w:ascii="Courier New" w:hAnsi="Courier New" w:hint="default"/>
      </w:rPr>
    </w:lvl>
    <w:lvl w:ilvl="2" w:tplc="10F00810">
      <w:start w:val="1"/>
      <w:numFmt w:val="bullet"/>
      <w:lvlText w:val=""/>
      <w:lvlJc w:val="left"/>
      <w:pPr>
        <w:ind w:left="2160" w:hanging="360"/>
      </w:pPr>
      <w:rPr>
        <w:rFonts w:ascii="Wingdings" w:hAnsi="Wingdings" w:hint="default"/>
      </w:rPr>
    </w:lvl>
    <w:lvl w:ilvl="3" w:tplc="A288C9D8">
      <w:start w:val="1"/>
      <w:numFmt w:val="bullet"/>
      <w:lvlText w:val=""/>
      <w:lvlJc w:val="left"/>
      <w:pPr>
        <w:ind w:left="2880" w:hanging="360"/>
      </w:pPr>
      <w:rPr>
        <w:rFonts w:ascii="Symbol" w:hAnsi="Symbol" w:hint="default"/>
      </w:rPr>
    </w:lvl>
    <w:lvl w:ilvl="4" w:tplc="E272C6E4">
      <w:start w:val="1"/>
      <w:numFmt w:val="bullet"/>
      <w:lvlText w:val="o"/>
      <w:lvlJc w:val="left"/>
      <w:pPr>
        <w:ind w:left="3600" w:hanging="360"/>
      </w:pPr>
      <w:rPr>
        <w:rFonts w:ascii="Courier New" w:hAnsi="Courier New" w:hint="default"/>
      </w:rPr>
    </w:lvl>
    <w:lvl w:ilvl="5" w:tplc="C8C0EC18">
      <w:start w:val="1"/>
      <w:numFmt w:val="bullet"/>
      <w:lvlText w:val=""/>
      <w:lvlJc w:val="left"/>
      <w:pPr>
        <w:ind w:left="4320" w:hanging="360"/>
      </w:pPr>
      <w:rPr>
        <w:rFonts w:ascii="Wingdings" w:hAnsi="Wingdings" w:hint="default"/>
      </w:rPr>
    </w:lvl>
    <w:lvl w:ilvl="6" w:tplc="012C41DA">
      <w:start w:val="1"/>
      <w:numFmt w:val="bullet"/>
      <w:lvlText w:val=""/>
      <w:lvlJc w:val="left"/>
      <w:pPr>
        <w:ind w:left="5040" w:hanging="360"/>
      </w:pPr>
      <w:rPr>
        <w:rFonts w:ascii="Symbol" w:hAnsi="Symbol" w:hint="default"/>
      </w:rPr>
    </w:lvl>
    <w:lvl w:ilvl="7" w:tplc="B7ACC5F8">
      <w:start w:val="1"/>
      <w:numFmt w:val="bullet"/>
      <w:lvlText w:val="o"/>
      <w:lvlJc w:val="left"/>
      <w:pPr>
        <w:ind w:left="5760" w:hanging="360"/>
      </w:pPr>
      <w:rPr>
        <w:rFonts w:ascii="Courier New" w:hAnsi="Courier New" w:hint="default"/>
      </w:rPr>
    </w:lvl>
    <w:lvl w:ilvl="8" w:tplc="4280B98A">
      <w:start w:val="1"/>
      <w:numFmt w:val="bullet"/>
      <w:lvlText w:val=""/>
      <w:lvlJc w:val="left"/>
      <w:pPr>
        <w:ind w:left="6480" w:hanging="360"/>
      </w:pPr>
      <w:rPr>
        <w:rFonts w:ascii="Wingdings" w:hAnsi="Wingdings" w:hint="default"/>
      </w:rPr>
    </w:lvl>
  </w:abstractNum>
  <w:abstractNum w:abstractNumId="27" w15:restartNumberingAfterBreak="0">
    <w:nsid w:val="71C9AEB1"/>
    <w:multiLevelType w:val="hybridMultilevel"/>
    <w:tmpl w:val="FFFFFFFF"/>
    <w:lvl w:ilvl="0" w:tplc="FA60C424">
      <w:start w:val="1"/>
      <w:numFmt w:val="bullet"/>
      <w:lvlText w:val=""/>
      <w:lvlJc w:val="left"/>
      <w:pPr>
        <w:ind w:left="720" w:hanging="360"/>
      </w:pPr>
      <w:rPr>
        <w:rFonts w:ascii="Symbol" w:hAnsi="Symbol" w:hint="default"/>
      </w:rPr>
    </w:lvl>
    <w:lvl w:ilvl="1" w:tplc="51FC9770">
      <w:start w:val="1"/>
      <w:numFmt w:val="bullet"/>
      <w:lvlText w:val="o"/>
      <w:lvlJc w:val="left"/>
      <w:pPr>
        <w:ind w:left="1440" w:hanging="360"/>
      </w:pPr>
      <w:rPr>
        <w:rFonts w:ascii="Courier New" w:hAnsi="Courier New" w:hint="default"/>
      </w:rPr>
    </w:lvl>
    <w:lvl w:ilvl="2" w:tplc="47285AAE">
      <w:start w:val="1"/>
      <w:numFmt w:val="bullet"/>
      <w:lvlText w:val=""/>
      <w:lvlJc w:val="left"/>
      <w:pPr>
        <w:ind w:left="2160" w:hanging="360"/>
      </w:pPr>
      <w:rPr>
        <w:rFonts w:ascii="Wingdings" w:hAnsi="Wingdings" w:hint="default"/>
      </w:rPr>
    </w:lvl>
    <w:lvl w:ilvl="3" w:tplc="16A40AB4">
      <w:start w:val="1"/>
      <w:numFmt w:val="bullet"/>
      <w:lvlText w:val=""/>
      <w:lvlJc w:val="left"/>
      <w:pPr>
        <w:ind w:left="2880" w:hanging="360"/>
      </w:pPr>
      <w:rPr>
        <w:rFonts w:ascii="Symbol" w:hAnsi="Symbol" w:hint="default"/>
      </w:rPr>
    </w:lvl>
    <w:lvl w:ilvl="4" w:tplc="EA4E3E0A">
      <w:start w:val="1"/>
      <w:numFmt w:val="bullet"/>
      <w:lvlText w:val="o"/>
      <w:lvlJc w:val="left"/>
      <w:pPr>
        <w:ind w:left="3600" w:hanging="360"/>
      </w:pPr>
      <w:rPr>
        <w:rFonts w:ascii="Courier New" w:hAnsi="Courier New" w:hint="default"/>
      </w:rPr>
    </w:lvl>
    <w:lvl w:ilvl="5" w:tplc="5C6AE63A">
      <w:start w:val="1"/>
      <w:numFmt w:val="bullet"/>
      <w:lvlText w:val=""/>
      <w:lvlJc w:val="left"/>
      <w:pPr>
        <w:ind w:left="4320" w:hanging="360"/>
      </w:pPr>
      <w:rPr>
        <w:rFonts w:ascii="Wingdings" w:hAnsi="Wingdings" w:hint="default"/>
      </w:rPr>
    </w:lvl>
    <w:lvl w:ilvl="6" w:tplc="EE42EC52">
      <w:start w:val="1"/>
      <w:numFmt w:val="bullet"/>
      <w:lvlText w:val=""/>
      <w:lvlJc w:val="left"/>
      <w:pPr>
        <w:ind w:left="5040" w:hanging="360"/>
      </w:pPr>
      <w:rPr>
        <w:rFonts w:ascii="Symbol" w:hAnsi="Symbol" w:hint="default"/>
      </w:rPr>
    </w:lvl>
    <w:lvl w:ilvl="7" w:tplc="8F40196E">
      <w:start w:val="1"/>
      <w:numFmt w:val="bullet"/>
      <w:lvlText w:val="o"/>
      <w:lvlJc w:val="left"/>
      <w:pPr>
        <w:ind w:left="5760" w:hanging="360"/>
      </w:pPr>
      <w:rPr>
        <w:rFonts w:ascii="Courier New" w:hAnsi="Courier New" w:hint="default"/>
      </w:rPr>
    </w:lvl>
    <w:lvl w:ilvl="8" w:tplc="12F46C22">
      <w:start w:val="1"/>
      <w:numFmt w:val="bullet"/>
      <w:lvlText w:val=""/>
      <w:lvlJc w:val="left"/>
      <w:pPr>
        <w:ind w:left="6480" w:hanging="360"/>
      </w:pPr>
      <w:rPr>
        <w:rFonts w:ascii="Wingdings" w:hAnsi="Wingdings" w:hint="default"/>
      </w:rPr>
    </w:lvl>
  </w:abstractNum>
  <w:abstractNum w:abstractNumId="28" w15:restartNumberingAfterBreak="0">
    <w:nsid w:val="7225D773"/>
    <w:multiLevelType w:val="hybridMultilevel"/>
    <w:tmpl w:val="FFFFFFFF"/>
    <w:lvl w:ilvl="0" w:tplc="DAD0134C">
      <w:start w:val="1"/>
      <w:numFmt w:val="bullet"/>
      <w:lvlText w:val=""/>
      <w:lvlJc w:val="left"/>
      <w:pPr>
        <w:ind w:left="720" w:hanging="360"/>
      </w:pPr>
      <w:rPr>
        <w:rFonts w:ascii="Symbol" w:hAnsi="Symbol" w:hint="default"/>
      </w:rPr>
    </w:lvl>
    <w:lvl w:ilvl="1" w:tplc="889A1002">
      <w:start w:val="1"/>
      <w:numFmt w:val="bullet"/>
      <w:lvlText w:val="o"/>
      <w:lvlJc w:val="left"/>
      <w:pPr>
        <w:ind w:left="1440" w:hanging="360"/>
      </w:pPr>
      <w:rPr>
        <w:rFonts w:ascii="Courier New" w:hAnsi="Courier New" w:hint="default"/>
      </w:rPr>
    </w:lvl>
    <w:lvl w:ilvl="2" w:tplc="8BE425A0">
      <w:start w:val="1"/>
      <w:numFmt w:val="bullet"/>
      <w:lvlText w:val=""/>
      <w:lvlJc w:val="left"/>
      <w:pPr>
        <w:ind w:left="2160" w:hanging="360"/>
      </w:pPr>
      <w:rPr>
        <w:rFonts w:ascii="Wingdings" w:hAnsi="Wingdings" w:hint="default"/>
      </w:rPr>
    </w:lvl>
    <w:lvl w:ilvl="3" w:tplc="D12E9244">
      <w:start w:val="1"/>
      <w:numFmt w:val="bullet"/>
      <w:lvlText w:val=""/>
      <w:lvlJc w:val="left"/>
      <w:pPr>
        <w:ind w:left="2880" w:hanging="360"/>
      </w:pPr>
      <w:rPr>
        <w:rFonts w:ascii="Symbol" w:hAnsi="Symbol" w:hint="default"/>
      </w:rPr>
    </w:lvl>
    <w:lvl w:ilvl="4" w:tplc="D784A612">
      <w:start w:val="1"/>
      <w:numFmt w:val="bullet"/>
      <w:lvlText w:val="o"/>
      <w:lvlJc w:val="left"/>
      <w:pPr>
        <w:ind w:left="3600" w:hanging="360"/>
      </w:pPr>
      <w:rPr>
        <w:rFonts w:ascii="Courier New" w:hAnsi="Courier New" w:hint="default"/>
      </w:rPr>
    </w:lvl>
    <w:lvl w:ilvl="5" w:tplc="AC06EF1A">
      <w:start w:val="1"/>
      <w:numFmt w:val="bullet"/>
      <w:lvlText w:val=""/>
      <w:lvlJc w:val="left"/>
      <w:pPr>
        <w:ind w:left="4320" w:hanging="360"/>
      </w:pPr>
      <w:rPr>
        <w:rFonts w:ascii="Wingdings" w:hAnsi="Wingdings" w:hint="default"/>
      </w:rPr>
    </w:lvl>
    <w:lvl w:ilvl="6" w:tplc="4168ACFE">
      <w:start w:val="1"/>
      <w:numFmt w:val="bullet"/>
      <w:lvlText w:val=""/>
      <w:lvlJc w:val="left"/>
      <w:pPr>
        <w:ind w:left="5040" w:hanging="360"/>
      </w:pPr>
      <w:rPr>
        <w:rFonts w:ascii="Symbol" w:hAnsi="Symbol" w:hint="default"/>
      </w:rPr>
    </w:lvl>
    <w:lvl w:ilvl="7" w:tplc="2FAAF6CC">
      <w:start w:val="1"/>
      <w:numFmt w:val="bullet"/>
      <w:lvlText w:val="o"/>
      <w:lvlJc w:val="left"/>
      <w:pPr>
        <w:ind w:left="5760" w:hanging="360"/>
      </w:pPr>
      <w:rPr>
        <w:rFonts w:ascii="Courier New" w:hAnsi="Courier New" w:hint="default"/>
      </w:rPr>
    </w:lvl>
    <w:lvl w:ilvl="8" w:tplc="B5BC93F6">
      <w:start w:val="1"/>
      <w:numFmt w:val="bullet"/>
      <w:lvlText w:val=""/>
      <w:lvlJc w:val="left"/>
      <w:pPr>
        <w:ind w:left="6480" w:hanging="360"/>
      </w:pPr>
      <w:rPr>
        <w:rFonts w:ascii="Wingdings" w:hAnsi="Wingdings" w:hint="default"/>
      </w:rPr>
    </w:lvl>
  </w:abstractNum>
  <w:abstractNum w:abstractNumId="29"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B30671C4"/>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AB26CF"/>
    <w:multiLevelType w:val="hybridMultilevel"/>
    <w:tmpl w:val="17D23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718863">
    <w:abstractNumId w:val="25"/>
  </w:num>
  <w:num w:numId="2" w16cid:durableId="1672096287">
    <w:abstractNumId w:val="21"/>
  </w:num>
  <w:num w:numId="3" w16cid:durableId="1940719013">
    <w:abstractNumId w:val="10"/>
  </w:num>
  <w:num w:numId="4" w16cid:durableId="744693163">
    <w:abstractNumId w:val="11"/>
  </w:num>
  <w:num w:numId="5" w16cid:durableId="79183226">
    <w:abstractNumId w:val="28"/>
  </w:num>
  <w:num w:numId="6" w16cid:durableId="174344065">
    <w:abstractNumId w:val="23"/>
  </w:num>
  <w:num w:numId="7" w16cid:durableId="1205824878">
    <w:abstractNumId w:val="27"/>
  </w:num>
  <w:num w:numId="8" w16cid:durableId="345449064">
    <w:abstractNumId w:val="26"/>
  </w:num>
  <w:num w:numId="9" w16cid:durableId="1905797389">
    <w:abstractNumId w:val="16"/>
  </w:num>
  <w:num w:numId="10" w16cid:durableId="1386298091">
    <w:abstractNumId w:val="7"/>
  </w:num>
  <w:num w:numId="11" w16cid:durableId="966744343">
    <w:abstractNumId w:val="29"/>
  </w:num>
  <w:num w:numId="12" w16cid:durableId="1770588126">
    <w:abstractNumId w:val="24"/>
  </w:num>
  <w:num w:numId="13" w16cid:durableId="957831264">
    <w:abstractNumId w:val="30"/>
  </w:num>
  <w:num w:numId="14" w16cid:durableId="1363477984">
    <w:abstractNumId w:val="17"/>
  </w:num>
  <w:num w:numId="15" w16cid:durableId="1231650704">
    <w:abstractNumId w:val="5"/>
  </w:num>
  <w:num w:numId="16" w16cid:durableId="1170871380">
    <w:abstractNumId w:val="4"/>
  </w:num>
  <w:num w:numId="17" w16cid:durableId="1156727565">
    <w:abstractNumId w:val="14"/>
  </w:num>
  <w:num w:numId="18" w16cid:durableId="363604617">
    <w:abstractNumId w:val="22"/>
  </w:num>
  <w:num w:numId="19" w16cid:durableId="229923367">
    <w:abstractNumId w:val="6"/>
  </w:num>
  <w:num w:numId="20" w16cid:durableId="2116753216">
    <w:abstractNumId w:val="2"/>
  </w:num>
  <w:num w:numId="21" w16cid:durableId="1392803638">
    <w:abstractNumId w:val="0"/>
  </w:num>
  <w:num w:numId="22" w16cid:durableId="154223371">
    <w:abstractNumId w:val="15"/>
  </w:num>
  <w:num w:numId="23" w16cid:durableId="966203224">
    <w:abstractNumId w:val="3"/>
  </w:num>
  <w:num w:numId="24" w16cid:durableId="1128012588">
    <w:abstractNumId w:val="1"/>
  </w:num>
  <w:num w:numId="25" w16cid:durableId="796609512">
    <w:abstractNumId w:val="19"/>
  </w:num>
  <w:num w:numId="26" w16cid:durableId="1930767985">
    <w:abstractNumId w:val="9"/>
  </w:num>
  <w:num w:numId="27" w16cid:durableId="1175146395">
    <w:abstractNumId w:val="13"/>
  </w:num>
  <w:num w:numId="28" w16cid:durableId="1696807615">
    <w:abstractNumId w:val="20"/>
  </w:num>
  <w:num w:numId="29" w16cid:durableId="1738898911">
    <w:abstractNumId w:val="12"/>
  </w:num>
  <w:num w:numId="30" w16cid:durableId="373194675">
    <w:abstractNumId w:val="8"/>
  </w:num>
  <w:num w:numId="31" w16cid:durableId="1003892697">
    <w:abstractNumId w:val="18"/>
  </w:num>
  <w:num w:numId="32" w16cid:durableId="1234270886">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F1D"/>
    <w:rsid w:val="00010844"/>
    <w:rsid w:val="00015127"/>
    <w:rsid w:val="000242F6"/>
    <w:rsid w:val="00025BB8"/>
    <w:rsid w:val="00027209"/>
    <w:rsid w:val="0003510C"/>
    <w:rsid w:val="00035AF3"/>
    <w:rsid w:val="000368D8"/>
    <w:rsid w:val="000416AB"/>
    <w:rsid w:val="000420AE"/>
    <w:rsid w:val="00050445"/>
    <w:rsid w:val="000561C6"/>
    <w:rsid w:val="00062ABF"/>
    <w:rsid w:val="00063A4C"/>
    <w:rsid w:val="0006634F"/>
    <w:rsid w:val="000672CB"/>
    <w:rsid w:val="0006773B"/>
    <w:rsid w:val="000771C2"/>
    <w:rsid w:val="000776B8"/>
    <w:rsid w:val="00082B5C"/>
    <w:rsid w:val="0008716C"/>
    <w:rsid w:val="00093631"/>
    <w:rsid w:val="00095932"/>
    <w:rsid w:val="00095B7F"/>
    <w:rsid w:val="0009644B"/>
    <w:rsid w:val="000A3862"/>
    <w:rsid w:val="000A42DB"/>
    <w:rsid w:val="000B18CF"/>
    <w:rsid w:val="000D63EE"/>
    <w:rsid w:val="000E604B"/>
    <w:rsid w:val="000F1140"/>
    <w:rsid w:val="000F341E"/>
    <w:rsid w:val="00103B55"/>
    <w:rsid w:val="0010480F"/>
    <w:rsid w:val="00113B3F"/>
    <w:rsid w:val="00120931"/>
    <w:rsid w:val="00120D7B"/>
    <w:rsid w:val="00133FFF"/>
    <w:rsid w:val="001342AF"/>
    <w:rsid w:val="00135A4E"/>
    <w:rsid w:val="00155CF7"/>
    <w:rsid w:val="00156D72"/>
    <w:rsid w:val="00157717"/>
    <w:rsid w:val="001610DF"/>
    <w:rsid w:val="00163577"/>
    <w:rsid w:val="00167A17"/>
    <w:rsid w:val="001712CE"/>
    <w:rsid w:val="00171AEC"/>
    <w:rsid w:val="00175026"/>
    <w:rsid w:val="001817FE"/>
    <w:rsid w:val="00183ED4"/>
    <w:rsid w:val="0018716D"/>
    <w:rsid w:val="00187265"/>
    <w:rsid w:val="00190390"/>
    <w:rsid w:val="00197E34"/>
    <w:rsid w:val="001A394E"/>
    <w:rsid w:val="001A6992"/>
    <w:rsid w:val="001B3583"/>
    <w:rsid w:val="001B7858"/>
    <w:rsid w:val="001C0E71"/>
    <w:rsid w:val="001C2971"/>
    <w:rsid w:val="001C4419"/>
    <w:rsid w:val="001C6789"/>
    <w:rsid w:val="001D0A32"/>
    <w:rsid w:val="001E271B"/>
    <w:rsid w:val="001F2ED9"/>
    <w:rsid w:val="001F748A"/>
    <w:rsid w:val="002025AF"/>
    <w:rsid w:val="00202D1D"/>
    <w:rsid w:val="00204D45"/>
    <w:rsid w:val="0021124B"/>
    <w:rsid w:val="002113C4"/>
    <w:rsid w:val="002121F4"/>
    <w:rsid w:val="0021787D"/>
    <w:rsid w:val="00232411"/>
    <w:rsid w:val="002332B9"/>
    <w:rsid w:val="0023368A"/>
    <w:rsid w:val="00235216"/>
    <w:rsid w:val="0024267E"/>
    <w:rsid w:val="0024341F"/>
    <w:rsid w:val="00257200"/>
    <w:rsid w:val="00263EF5"/>
    <w:rsid w:val="002642D9"/>
    <w:rsid w:val="00266C7C"/>
    <w:rsid w:val="00282D72"/>
    <w:rsid w:val="002925B5"/>
    <w:rsid w:val="00292F07"/>
    <w:rsid w:val="002B30F3"/>
    <w:rsid w:val="002B3D3B"/>
    <w:rsid w:val="002B47C1"/>
    <w:rsid w:val="002B5C2B"/>
    <w:rsid w:val="002B5D50"/>
    <w:rsid w:val="002E0783"/>
    <w:rsid w:val="002E3C08"/>
    <w:rsid w:val="002E440C"/>
    <w:rsid w:val="002E53DE"/>
    <w:rsid w:val="002F038D"/>
    <w:rsid w:val="002F1412"/>
    <w:rsid w:val="00301D46"/>
    <w:rsid w:val="00303B99"/>
    <w:rsid w:val="00306C61"/>
    <w:rsid w:val="00310260"/>
    <w:rsid w:val="003140A5"/>
    <w:rsid w:val="00321FD7"/>
    <w:rsid w:val="00324278"/>
    <w:rsid w:val="00324726"/>
    <w:rsid w:val="00324ACC"/>
    <w:rsid w:val="0033646E"/>
    <w:rsid w:val="00336AD6"/>
    <w:rsid w:val="00364AC6"/>
    <w:rsid w:val="00365DAE"/>
    <w:rsid w:val="00373924"/>
    <w:rsid w:val="00374B4B"/>
    <w:rsid w:val="00375E11"/>
    <w:rsid w:val="003760AD"/>
    <w:rsid w:val="003771F4"/>
    <w:rsid w:val="00384B69"/>
    <w:rsid w:val="00384CFC"/>
    <w:rsid w:val="003918F4"/>
    <w:rsid w:val="00393F5F"/>
    <w:rsid w:val="00394D7E"/>
    <w:rsid w:val="00395743"/>
    <w:rsid w:val="003A3B2D"/>
    <w:rsid w:val="003A5F9F"/>
    <w:rsid w:val="003A6384"/>
    <w:rsid w:val="003B2306"/>
    <w:rsid w:val="003C0B44"/>
    <w:rsid w:val="003C0BF1"/>
    <w:rsid w:val="003C298B"/>
    <w:rsid w:val="003C495D"/>
    <w:rsid w:val="003C70F4"/>
    <w:rsid w:val="003D1A84"/>
    <w:rsid w:val="003D41EB"/>
    <w:rsid w:val="003D6053"/>
    <w:rsid w:val="003D7A44"/>
    <w:rsid w:val="003E0E6D"/>
    <w:rsid w:val="003E2DD1"/>
    <w:rsid w:val="003E57A6"/>
    <w:rsid w:val="003F3266"/>
    <w:rsid w:val="003F5512"/>
    <w:rsid w:val="0040181F"/>
    <w:rsid w:val="0040474D"/>
    <w:rsid w:val="00405086"/>
    <w:rsid w:val="00406653"/>
    <w:rsid w:val="00415969"/>
    <w:rsid w:val="0042656B"/>
    <w:rsid w:val="0043793A"/>
    <w:rsid w:val="004512C5"/>
    <w:rsid w:val="004575C0"/>
    <w:rsid w:val="004653B3"/>
    <w:rsid w:val="004714BF"/>
    <w:rsid w:val="0047467E"/>
    <w:rsid w:val="00474C54"/>
    <w:rsid w:val="004810FA"/>
    <w:rsid w:val="00482437"/>
    <w:rsid w:val="0048262C"/>
    <w:rsid w:val="004916E4"/>
    <w:rsid w:val="004924E4"/>
    <w:rsid w:val="00494D13"/>
    <w:rsid w:val="00495B9B"/>
    <w:rsid w:val="00496CE0"/>
    <w:rsid w:val="004A09C1"/>
    <w:rsid w:val="004A213F"/>
    <w:rsid w:val="004B3F47"/>
    <w:rsid w:val="004B6C69"/>
    <w:rsid w:val="004C132B"/>
    <w:rsid w:val="004C3445"/>
    <w:rsid w:val="004C7AD6"/>
    <w:rsid w:val="004D0AFD"/>
    <w:rsid w:val="004D4007"/>
    <w:rsid w:val="004E0CD3"/>
    <w:rsid w:val="004E10D6"/>
    <w:rsid w:val="004E1A04"/>
    <w:rsid w:val="004E6840"/>
    <w:rsid w:val="00506C41"/>
    <w:rsid w:val="0051650E"/>
    <w:rsid w:val="005217BF"/>
    <w:rsid w:val="005253C0"/>
    <w:rsid w:val="0053417B"/>
    <w:rsid w:val="00552CB2"/>
    <w:rsid w:val="00561437"/>
    <w:rsid w:val="00565303"/>
    <w:rsid w:val="00570057"/>
    <w:rsid w:val="005714CB"/>
    <w:rsid w:val="005736D6"/>
    <w:rsid w:val="00574010"/>
    <w:rsid w:val="00574674"/>
    <w:rsid w:val="005941A3"/>
    <w:rsid w:val="005A068C"/>
    <w:rsid w:val="005A19DD"/>
    <w:rsid w:val="005B4EF5"/>
    <w:rsid w:val="005B635F"/>
    <w:rsid w:val="005B7744"/>
    <w:rsid w:val="005D1D5C"/>
    <w:rsid w:val="005D78DA"/>
    <w:rsid w:val="005E47B1"/>
    <w:rsid w:val="00607562"/>
    <w:rsid w:val="0061159D"/>
    <w:rsid w:val="00611B45"/>
    <w:rsid w:val="00614FFC"/>
    <w:rsid w:val="00615BDF"/>
    <w:rsid w:val="006209A5"/>
    <w:rsid w:val="00621673"/>
    <w:rsid w:val="006329CD"/>
    <w:rsid w:val="00633F55"/>
    <w:rsid w:val="00636849"/>
    <w:rsid w:val="00636F2A"/>
    <w:rsid w:val="0064066B"/>
    <w:rsid w:val="006474D6"/>
    <w:rsid w:val="006503E4"/>
    <w:rsid w:val="0065076F"/>
    <w:rsid w:val="006517E9"/>
    <w:rsid w:val="006531A1"/>
    <w:rsid w:val="00657CE7"/>
    <w:rsid w:val="00660943"/>
    <w:rsid w:val="00671211"/>
    <w:rsid w:val="00686DDF"/>
    <w:rsid w:val="006A7F75"/>
    <w:rsid w:val="006B14BA"/>
    <w:rsid w:val="006B1AFD"/>
    <w:rsid w:val="006B28F5"/>
    <w:rsid w:val="006B2A23"/>
    <w:rsid w:val="006B676B"/>
    <w:rsid w:val="006B7BEE"/>
    <w:rsid w:val="006C3452"/>
    <w:rsid w:val="006C6EFD"/>
    <w:rsid w:val="006E07C9"/>
    <w:rsid w:val="006E7790"/>
    <w:rsid w:val="006F53BA"/>
    <w:rsid w:val="007002F0"/>
    <w:rsid w:val="007025F0"/>
    <w:rsid w:val="00703A68"/>
    <w:rsid w:val="00703EF5"/>
    <w:rsid w:val="00710DC3"/>
    <w:rsid w:val="007123A4"/>
    <w:rsid w:val="007140EB"/>
    <w:rsid w:val="00716D05"/>
    <w:rsid w:val="00717DCB"/>
    <w:rsid w:val="00717FF5"/>
    <w:rsid w:val="007259E5"/>
    <w:rsid w:val="0072767D"/>
    <w:rsid w:val="00731219"/>
    <w:rsid w:val="00734154"/>
    <w:rsid w:val="00735117"/>
    <w:rsid w:val="00744D86"/>
    <w:rsid w:val="00756A28"/>
    <w:rsid w:val="0075793D"/>
    <w:rsid w:val="00757E4B"/>
    <w:rsid w:val="00781777"/>
    <w:rsid w:val="007B3A1D"/>
    <w:rsid w:val="007B68A3"/>
    <w:rsid w:val="007C2396"/>
    <w:rsid w:val="007C3FC6"/>
    <w:rsid w:val="007D0F8B"/>
    <w:rsid w:val="007D25A8"/>
    <w:rsid w:val="007D25DF"/>
    <w:rsid w:val="007D5C82"/>
    <w:rsid w:val="007D64EC"/>
    <w:rsid w:val="00803E7D"/>
    <w:rsid w:val="00804B35"/>
    <w:rsid w:val="00804F10"/>
    <w:rsid w:val="008078F2"/>
    <w:rsid w:val="008112C3"/>
    <w:rsid w:val="00813925"/>
    <w:rsid w:val="008200D6"/>
    <w:rsid w:val="008259FD"/>
    <w:rsid w:val="00827876"/>
    <w:rsid w:val="00835955"/>
    <w:rsid w:val="00836AAF"/>
    <w:rsid w:val="0084538F"/>
    <w:rsid w:val="008460EF"/>
    <w:rsid w:val="00847758"/>
    <w:rsid w:val="00852712"/>
    <w:rsid w:val="00856FBB"/>
    <w:rsid w:val="008655E9"/>
    <w:rsid w:val="00871103"/>
    <w:rsid w:val="00876F1B"/>
    <w:rsid w:val="00881A9C"/>
    <w:rsid w:val="00883C37"/>
    <w:rsid w:val="00896243"/>
    <w:rsid w:val="008A18A2"/>
    <w:rsid w:val="008A33A6"/>
    <w:rsid w:val="008B4024"/>
    <w:rsid w:val="008B454C"/>
    <w:rsid w:val="008B4849"/>
    <w:rsid w:val="008B61CF"/>
    <w:rsid w:val="008C21E2"/>
    <w:rsid w:val="008C49C7"/>
    <w:rsid w:val="008C7732"/>
    <w:rsid w:val="008C78B8"/>
    <w:rsid w:val="008D0599"/>
    <w:rsid w:val="008D1E20"/>
    <w:rsid w:val="008D356F"/>
    <w:rsid w:val="008E53A6"/>
    <w:rsid w:val="008E7F6A"/>
    <w:rsid w:val="008F021E"/>
    <w:rsid w:val="008F053C"/>
    <w:rsid w:val="008F0593"/>
    <w:rsid w:val="008F0AB2"/>
    <w:rsid w:val="008F119A"/>
    <w:rsid w:val="008F17A6"/>
    <w:rsid w:val="008F1964"/>
    <w:rsid w:val="008F37A7"/>
    <w:rsid w:val="00903436"/>
    <w:rsid w:val="00903975"/>
    <w:rsid w:val="0090E3DE"/>
    <w:rsid w:val="009107FB"/>
    <w:rsid w:val="00913BE6"/>
    <w:rsid w:val="00924CC6"/>
    <w:rsid w:val="00934735"/>
    <w:rsid w:val="00935B91"/>
    <w:rsid w:val="00942345"/>
    <w:rsid w:val="009502BB"/>
    <w:rsid w:val="00950CC7"/>
    <w:rsid w:val="009606F6"/>
    <w:rsid w:val="009672A0"/>
    <w:rsid w:val="009700D6"/>
    <w:rsid w:val="00970898"/>
    <w:rsid w:val="00972432"/>
    <w:rsid w:val="009755A0"/>
    <w:rsid w:val="009838F8"/>
    <w:rsid w:val="00995B36"/>
    <w:rsid w:val="009A37FC"/>
    <w:rsid w:val="009A418D"/>
    <w:rsid w:val="009A4792"/>
    <w:rsid w:val="009A4E0C"/>
    <w:rsid w:val="009B2DA1"/>
    <w:rsid w:val="009B7600"/>
    <w:rsid w:val="009B7FFD"/>
    <w:rsid w:val="009C1D8F"/>
    <w:rsid w:val="009C3034"/>
    <w:rsid w:val="009C4973"/>
    <w:rsid w:val="009C7E59"/>
    <w:rsid w:val="009D17B7"/>
    <w:rsid w:val="009D36FC"/>
    <w:rsid w:val="009E482C"/>
    <w:rsid w:val="009E4B70"/>
    <w:rsid w:val="009E631C"/>
    <w:rsid w:val="009F1F1F"/>
    <w:rsid w:val="009F52A8"/>
    <w:rsid w:val="009F5F4B"/>
    <w:rsid w:val="009F68E5"/>
    <w:rsid w:val="009F745E"/>
    <w:rsid w:val="009F7CF3"/>
    <w:rsid w:val="009F7FA7"/>
    <w:rsid w:val="00A07B70"/>
    <w:rsid w:val="00A134E6"/>
    <w:rsid w:val="00A13C84"/>
    <w:rsid w:val="00A179E1"/>
    <w:rsid w:val="00A239B3"/>
    <w:rsid w:val="00A253F0"/>
    <w:rsid w:val="00A26CAF"/>
    <w:rsid w:val="00A32D26"/>
    <w:rsid w:val="00A35C59"/>
    <w:rsid w:val="00A36964"/>
    <w:rsid w:val="00A47ECF"/>
    <w:rsid w:val="00A5651E"/>
    <w:rsid w:val="00A572BB"/>
    <w:rsid w:val="00A61F72"/>
    <w:rsid w:val="00A6310F"/>
    <w:rsid w:val="00A75008"/>
    <w:rsid w:val="00A76242"/>
    <w:rsid w:val="00A86A1B"/>
    <w:rsid w:val="00A92BCE"/>
    <w:rsid w:val="00A974DF"/>
    <w:rsid w:val="00AA208E"/>
    <w:rsid w:val="00AA32CA"/>
    <w:rsid w:val="00AA3C99"/>
    <w:rsid w:val="00AA406B"/>
    <w:rsid w:val="00AA526E"/>
    <w:rsid w:val="00AA5FA7"/>
    <w:rsid w:val="00AC3EA6"/>
    <w:rsid w:val="00AC5888"/>
    <w:rsid w:val="00AE589F"/>
    <w:rsid w:val="00AF1F11"/>
    <w:rsid w:val="00AF4C19"/>
    <w:rsid w:val="00AF6D74"/>
    <w:rsid w:val="00B10635"/>
    <w:rsid w:val="00B11CD4"/>
    <w:rsid w:val="00B12515"/>
    <w:rsid w:val="00B136A8"/>
    <w:rsid w:val="00B14D30"/>
    <w:rsid w:val="00B166C2"/>
    <w:rsid w:val="00B23384"/>
    <w:rsid w:val="00B24EE3"/>
    <w:rsid w:val="00B34771"/>
    <w:rsid w:val="00B37DD1"/>
    <w:rsid w:val="00B42734"/>
    <w:rsid w:val="00B53D21"/>
    <w:rsid w:val="00B5553A"/>
    <w:rsid w:val="00B55E59"/>
    <w:rsid w:val="00B55F28"/>
    <w:rsid w:val="00B563E7"/>
    <w:rsid w:val="00B61396"/>
    <w:rsid w:val="00B64D4F"/>
    <w:rsid w:val="00B666D8"/>
    <w:rsid w:val="00B7013B"/>
    <w:rsid w:val="00B72007"/>
    <w:rsid w:val="00B76C93"/>
    <w:rsid w:val="00B91190"/>
    <w:rsid w:val="00B92D37"/>
    <w:rsid w:val="00B939EE"/>
    <w:rsid w:val="00B96D26"/>
    <w:rsid w:val="00BA48C3"/>
    <w:rsid w:val="00BA535D"/>
    <w:rsid w:val="00BA5F62"/>
    <w:rsid w:val="00BA694B"/>
    <w:rsid w:val="00BB0887"/>
    <w:rsid w:val="00BB36C2"/>
    <w:rsid w:val="00BD45A6"/>
    <w:rsid w:val="00BF000B"/>
    <w:rsid w:val="00C0002A"/>
    <w:rsid w:val="00C008ED"/>
    <w:rsid w:val="00C00D51"/>
    <w:rsid w:val="00C015BA"/>
    <w:rsid w:val="00C1013E"/>
    <w:rsid w:val="00C23567"/>
    <w:rsid w:val="00C3134C"/>
    <w:rsid w:val="00C46460"/>
    <w:rsid w:val="00C52015"/>
    <w:rsid w:val="00C52BBC"/>
    <w:rsid w:val="00C52D1A"/>
    <w:rsid w:val="00C570B2"/>
    <w:rsid w:val="00C67DBF"/>
    <w:rsid w:val="00C71D27"/>
    <w:rsid w:val="00C77A3B"/>
    <w:rsid w:val="00C81298"/>
    <w:rsid w:val="00C8496A"/>
    <w:rsid w:val="00C9579D"/>
    <w:rsid w:val="00CA2888"/>
    <w:rsid w:val="00CA39D3"/>
    <w:rsid w:val="00CA542F"/>
    <w:rsid w:val="00CA66B6"/>
    <w:rsid w:val="00CC1CD7"/>
    <w:rsid w:val="00CC70A6"/>
    <w:rsid w:val="00CD4652"/>
    <w:rsid w:val="00CD504B"/>
    <w:rsid w:val="00CF51C5"/>
    <w:rsid w:val="00CF61FA"/>
    <w:rsid w:val="00D00188"/>
    <w:rsid w:val="00D02023"/>
    <w:rsid w:val="00D0290D"/>
    <w:rsid w:val="00D02E77"/>
    <w:rsid w:val="00D12A6D"/>
    <w:rsid w:val="00D16C04"/>
    <w:rsid w:val="00D17A5C"/>
    <w:rsid w:val="00D20854"/>
    <w:rsid w:val="00D21648"/>
    <w:rsid w:val="00D21A4B"/>
    <w:rsid w:val="00D23AA6"/>
    <w:rsid w:val="00D24DE4"/>
    <w:rsid w:val="00D3566E"/>
    <w:rsid w:val="00D428EA"/>
    <w:rsid w:val="00D45A13"/>
    <w:rsid w:val="00D553E9"/>
    <w:rsid w:val="00D5565F"/>
    <w:rsid w:val="00D56F47"/>
    <w:rsid w:val="00D618D7"/>
    <w:rsid w:val="00D638E4"/>
    <w:rsid w:val="00D63A72"/>
    <w:rsid w:val="00D71748"/>
    <w:rsid w:val="00D73C07"/>
    <w:rsid w:val="00D73E4E"/>
    <w:rsid w:val="00D74581"/>
    <w:rsid w:val="00D804C3"/>
    <w:rsid w:val="00D83421"/>
    <w:rsid w:val="00D8702D"/>
    <w:rsid w:val="00D91203"/>
    <w:rsid w:val="00DA1037"/>
    <w:rsid w:val="00DA6878"/>
    <w:rsid w:val="00DB15DE"/>
    <w:rsid w:val="00DB74F9"/>
    <w:rsid w:val="00DC0EB6"/>
    <w:rsid w:val="00DD2D2D"/>
    <w:rsid w:val="00DD54C6"/>
    <w:rsid w:val="00DD685E"/>
    <w:rsid w:val="00DD6A10"/>
    <w:rsid w:val="00DE1C8B"/>
    <w:rsid w:val="00DE3A2E"/>
    <w:rsid w:val="00DE71DB"/>
    <w:rsid w:val="00DF5FE4"/>
    <w:rsid w:val="00E07356"/>
    <w:rsid w:val="00E12DF4"/>
    <w:rsid w:val="00E14212"/>
    <w:rsid w:val="00E15D16"/>
    <w:rsid w:val="00E215FA"/>
    <w:rsid w:val="00E226D5"/>
    <w:rsid w:val="00E26ED9"/>
    <w:rsid w:val="00E2AA56"/>
    <w:rsid w:val="00E35513"/>
    <w:rsid w:val="00E3652A"/>
    <w:rsid w:val="00E443FC"/>
    <w:rsid w:val="00E50ABB"/>
    <w:rsid w:val="00E519FD"/>
    <w:rsid w:val="00E54D99"/>
    <w:rsid w:val="00E55244"/>
    <w:rsid w:val="00E57671"/>
    <w:rsid w:val="00E603C4"/>
    <w:rsid w:val="00E701DC"/>
    <w:rsid w:val="00E777F6"/>
    <w:rsid w:val="00E8279E"/>
    <w:rsid w:val="00E87591"/>
    <w:rsid w:val="00E9094F"/>
    <w:rsid w:val="00E956A6"/>
    <w:rsid w:val="00EA49D4"/>
    <w:rsid w:val="00EB5B76"/>
    <w:rsid w:val="00EB64AA"/>
    <w:rsid w:val="00ED7BAE"/>
    <w:rsid w:val="00EE0C53"/>
    <w:rsid w:val="00EF0189"/>
    <w:rsid w:val="00EF2789"/>
    <w:rsid w:val="00F027DB"/>
    <w:rsid w:val="00F02F29"/>
    <w:rsid w:val="00F06D15"/>
    <w:rsid w:val="00F147BD"/>
    <w:rsid w:val="00F30568"/>
    <w:rsid w:val="00F30602"/>
    <w:rsid w:val="00F3690D"/>
    <w:rsid w:val="00F40657"/>
    <w:rsid w:val="00F40D17"/>
    <w:rsid w:val="00F4390D"/>
    <w:rsid w:val="00F50CB2"/>
    <w:rsid w:val="00F563E4"/>
    <w:rsid w:val="00F566A9"/>
    <w:rsid w:val="00F60135"/>
    <w:rsid w:val="00F65683"/>
    <w:rsid w:val="00F661ED"/>
    <w:rsid w:val="00F6641B"/>
    <w:rsid w:val="00F75FC9"/>
    <w:rsid w:val="00F856C3"/>
    <w:rsid w:val="00F976EA"/>
    <w:rsid w:val="00FA0A6B"/>
    <w:rsid w:val="00FA2921"/>
    <w:rsid w:val="00FA71E8"/>
    <w:rsid w:val="00FB02DE"/>
    <w:rsid w:val="00FB187E"/>
    <w:rsid w:val="00FB39C7"/>
    <w:rsid w:val="00FC5D27"/>
    <w:rsid w:val="00FD057A"/>
    <w:rsid w:val="00FD0E36"/>
    <w:rsid w:val="00FD2101"/>
    <w:rsid w:val="00FD256D"/>
    <w:rsid w:val="00FD7419"/>
    <w:rsid w:val="00FE3636"/>
    <w:rsid w:val="00FE37E5"/>
    <w:rsid w:val="00FF0331"/>
    <w:rsid w:val="010172CD"/>
    <w:rsid w:val="013A85DE"/>
    <w:rsid w:val="01CAAD00"/>
    <w:rsid w:val="022A8930"/>
    <w:rsid w:val="0310E60D"/>
    <w:rsid w:val="03861E62"/>
    <w:rsid w:val="04149ECC"/>
    <w:rsid w:val="0490A737"/>
    <w:rsid w:val="052814E6"/>
    <w:rsid w:val="05521373"/>
    <w:rsid w:val="0566E4B7"/>
    <w:rsid w:val="05671788"/>
    <w:rsid w:val="061B4061"/>
    <w:rsid w:val="0706B127"/>
    <w:rsid w:val="072310C7"/>
    <w:rsid w:val="0728C22E"/>
    <w:rsid w:val="0730088F"/>
    <w:rsid w:val="077B9AF0"/>
    <w:rsid w:val="08017741"/>
    <w:rsid w:val="082CD73B"/>
    <w:rsid w:val="084AEA40"/>
    <w:rsid w:val="08ABCFD4"/>
    <w:rsid w:val="08C7B04A"/>
    <w:rsid w:val="08D767D4"/>
    <w:rsid w:val="09046556"/>
    <w:rsid w:val="092587F0"/>
    <w:rsid w:val="095249AB"/>
    <w:rsid w:val="095C9416"/>
    <w:rsid w:val="09F3FE25"/>
    <w:rsid w:val="0A32CDF6"/>
    <w:rsid w:val="0A39C754"/>
    <w:rsid w:val="0AC642CD"/>
    <w:rsid w:val="0ADBDC7A"/>
    <w:rsid w:val="0B040D20"/>
    <w:rsid w:val="0B171B05"/>
    <w:rsid w:val="0B9D08C2"/>
    <w:rsid w:val="0C175E84"/>
    <w:rsid w:val="0C601AF0"/>
    <w:rsid w:val="0C83C44A"/>
    <w:rsid w:val="0CE510A0"/>
    <w:rsid w:val="0DC46AB7"/>
    <w:rsid w:val="0E287D55"/>
    <w:rsid w:val="0E6AE48E"/>
    <w:rsid w:val="0F7A01D5"/>
    <w:rsid w:val="0FF809CE"/>
    <w:rsid w:val="10025439"/>
    <w:rsid w:val="1069CB6E"/>
    <w:rsid w:val="1075A15D"/>
    <w:rsid w:val="112416A9"/>
    <w:rsid w:val="11C3FEDF"/>
    <w:rsid w:val="11DBF84C"/>
    <w:rsid w:val="12AC6131"/>
    <w:rsid w:val="12EA1C29"/>
    <w:rsid w:val="13021596"/>
    <w:rsid w:val="1360A72F"/>
    <w:rsid w:val="1363987E"/>
    <w:rsid w:val="13C4A98B"/>
    <w:rsid w:val="14711A4B"/>
    <w:rsid w:val="14CE0AA7"/>
    <w:rsid w:val="155A60FD"/>
    <w:rsid w:val="158C7DEB"/>
    <w:rsid w:val="15C7FD8C"/>
    <w:rsid w:val="169AA1C8"/>
    <w:rsid w:val="16B29B35"/>
    <w:rsid w:val="17505A77"/>
    <w:rsid w:val="17A5590C"/>
    <w:rsid w:val="18239EFF"/>
    <w:rsid w:val="182FB48E"/>
    <w:rsid w:val="188B9F49"/>
    <w:rsid w:val="18CD40FF"/>
    <w:rsid w:val="193D038A"/>
    <w:rsid w:val="19E57C76"/>
    <w:rsid w:val="19F49A2F"/>
    <w:rsid w:val="19FE6C26"/>
    <w:rsid w:val="1A26176B"/>
    <w:rsid w:val="1A4D59C5"/>
    <w:rsid w:val="1A97D573"/>
    <w:rsid w:val="1AEBDC01"/>
    <w:rsid w:val="1AF4C967"/>
    <w:rsid w:val="1B29819E"/>
    <w:rsid w:val="1BB33CAB"/>
    <w:rsid w:val="1BD719F6"/>
    <w:rsid w:val="1D1CBE97"/>
    <w:rsid w:val="1E54A82A"/>
    <w:rsid w:val="1E589D62"/>
    <w:rsid w:val="1E8B77A2"/>
    <w:rsid w:val="2005A995"/>
    <w:rsid w:val="20194828"/>
    <w:rsid w:val="20E62DE0"/>
    <w:rsid w:val="20E86387"/>
    <w:rsid w:val="20E8EC07"/>
    <w:rsid w:val="2133D255"/>
    <w:rsid w:val="214028E4"/>
    <w:rsid w:val="2143264B"/>
    <w:rsid w:val="21D792F3"/>
    <w:rsid w:val="224103DB"/>
    <w:rsid w:val="22A28649"/>
    <w:rsid w:val="22A2B91A"/>
    <w:rsid w:val="22CC2B2B"/>
    <w:rsid w:val="238176FD"/>
    <w:rsid w:val="2399706A"/>
    <w:rsid w:val="23D8403B"/>
    <w:rsid w:val="24472866"/>
    <w:rsid w:val="2474A278"/>
    <w:rsid w:val="25BCD0C9"/>
    <w:rsid w:val="26CA5296"/>
    <w:rsid w:val="26DF56AB"/>
    <w:rsid w:val="270FDA84"/>
    <w:rsid w:val="285960C7"/>
    <w:rsid w:val="28821470"/>
    <w:rsid w:val="29555CFB"/>
    <w:rsid w:val="29B24D57"/>
    <w:rsid w:val="29BC63FB"/>
    <w:rsid w:val="2A2D42D0"/>
    <w:rsid w:val="2B576C04"/>
    <w:rsid w:val="2B63EC16"/>
    <w:rsid w:val="2B9D0047"/>
    <w:rsid w:val="2BAB3FEA"/>
    <w:rsid w:val="2C5CD15A"/>
    <w:rsid w:val="2D2E1ABF"/>
    <w:rsid w:val="2D46142C"/>
    <w:rsid w:val="2D97BDFE"/>
    <w:rsid w:val="2E21463A"/>
    <w:rsid w:val="2E2CA15A"/>
    <w:rsid w:val="2E4D110B"/>
    <w:rsid w:val="2E7054C3"/>
    <w:rsid w:val="2E752C2E"/>
    <w:rsid w:val="2E8F12A2"/>
    <w:rsid w:val="2E963003"/>
    <w:rsid w:val="2F49B6CC"/>
    <w:rsid w:val="2FA0BC78"/>
    <w:rsid w:val="2FDE5C63"/>
    <w:rsid w:val="2FF22FB8"/>
    <w:rsid w:val="2FFB1D1E"/>
    <w:rsid w:val="302A5083"/>
    <w:rsid w:val="30382687"/>
    <w:rsid w:val="3053E571"/>
    <w:rsid w:val="30580D7A"/>
    <w:rsid w:val="30AC3BBC"/>
    <w:rsid w:val="30C57440"/>
    <w:rsid w:val="31228BFC"/>
    <w:rsid w:val="317A935C"/>
    <w:rsid w:val="31A2C3A4"/>
    <w:rsid w:val="3213E870"/>
    <w:rsid w:val="3224028B"/>
    <w:rsid w:val="33541027"/>
    <w:rsid w:val="33FFA5B3"/>
    <w:rsid w:val="3494B579"/>
    <w:rsid w:val="34D74515"/>
    <w:rsid w:val="34EF3E82"/>
    <w:rsid w:val="3515FA02"/>
    <w:rsid w:val="3520CE90"/>
    <w:rsid w:val="3578BC63"/>
    <w:rsid w:val="3606655F"/>
    <w:rsid w:val="36503665"/>
    <w:rsid w:val="368DA931"/>
    <w:rsid w:val="36FAA574"/>
    <w:rsid w:val="3704BD0E"/>
    <w:rsid w:val="373B4189"/>
    <w:rsid w:val="386F362C"/>
    <w:rsid w:val="38762376"/>
    <w:rsid w:val="394248C0"/>
    <w:rsid w:val="399DEA86"/>
    <w:rsid w:val="39B7FF98"/>
    <w:rsid w:val="39DAB1A7"/>
    <w:rsid w:val="3C04AA21"/>
    <w:rsid w:val="3C4C21B7"/>
    <w:rsid w:val="3C4D3F8E"/>
    <w:rsid w:val="3CB099F7"/>
    <w:rsid w:val="3D2E6BAA"/>
    <w:rsid w:val="3D3A87D5"/>
    <w:rsid w:val="3D88756E"/>
    <w:rsid w:val="3D9283C4"/>
    <w:rsid w:val="3DBD2461"/>
    <w:rsid w:val="3DCF1C23"/>
    <w:rsid w:val="3DD22876"/>
    <w:rsid w:val="3E31013B"/>
    <w:rsid w:val="3E909BBA"/>
    <w:rsid w:val="3EADE764"/>
    <w:rsid w:val="3F8F0DBF"/>
    <w:rsid w:val="3FC655AC"/>
    <w:rsid w:val="401FF175"/>
    <w:rsid w:val="40D05180"/>
    <w:rsid w:val="4128B311"/>
    <w:rsid w:val="4191874B"/>
    <w:rsid w:val="41AAB369"/>
    <w:rsid w:val="42197614"/>
    <w:rsid w:val="42EFE2C5"/>
    <w:rsid w:val="4337D8A9"/>
    <w:rsid w:val="438C4502"/>
    <w:rsid w:val="43AE5609"/>
    <w:rsid w:val="43BFF2B9"/>
    <w:rsid w:val="44094D62"/>
    <w:rsid w:val="445AF6FE"/>
    <w:rsid w:val="44654169"/>
    <w:rsid w:val="447EEE8F"/>
    <w:rsid w:val="44D50500"/>
    <w:rsid w:val="45063632"/>
    <w:rsid w:val="456709D1"/>
    <w:rsid w:val="45782AA3"/>
    <w:rsid w:val="45AA7A62"/>
    <w:rsid w:val="461EEA0D"/>
    <w:rsid w:val="4640E491"/>
    <w:rsid w:val="4661CB64"/>
    <w:rsid w:val="46D38D04"/>
    <w:rsid w:val="470D0A98"/>
    <w:rsid w:val="47142919"/>
    <w:rsid w:val="4735B573"/>
    <w:rsid w:val="47845146"/>
    <w:rsid w:val="48009022"/>
    <w:rsid w:val="4816123C"/>
    <w:rsid w:val="48286E38"/>
    <w:rsid w:val="484F8ED7"/>
    <w:rsid w:val="4966D190"/>
    <w:rsid w:val="4967AF23"/>
    <w:rsid w:val="49B261BA"/>
    <w:rsid w:val="49EEEE6E"/>
    <w:rsid w:val="4A1C689D"/>
    <w:rsid w:val="4A64480E"/>
    <w:rsid w:val="4A9C0C10"/>
    <w:rsid w:val="4AB8CADA"/>
    <w:rsid w:val="4C450629"/>
    <w:rsid w:val="4C48C98A"/>
    <w:rsid w:val="4CBC0A62"/>
    <w:rsid w:val="4CC98409"/>
    <w:rsid w:val="4D1C99F2"/>
    <w:rsid w:val="4DCCEE3C"/>
    <w:rsid w:val="4E07CD91"/>
    <w:rsid w:val="4E0FFE63"/>
    <w:rsid w:val="4EC640D5"/>
    <w:rsid w:val="4EEF164E"/>
    <w:rsid w:val="4F7384F7"/>
    <w:rsid w:val="5003B57C"/>
    <w:rsid w:val="50A017B9"/>
    <w:rsid w:val="50C2AFA2"/>
    <w:rsid w:val="51735C41"/>
    <w:rsid w:val="51C26ACA"/>
    <w:rsid w:val="522914F0"/>
    <w:rsid w:val="52480882"/>
    <w:rsid w:val="525A07AA"/>
    <w:rsid w:val="525DB2C9"/>
    <w:rsid w:val="527EB3FA"/>
    <w:rsid w:val="5327AF6C"/>
    <w:rsid w:val="5485558F"/>
    <w:rsid w:val="54BE36EF"/>
    <w:rsid w:val="54C25EF8"/>
    <w:rsid w:val="5575E5C1"/>
    <w:rsid w:val="55A31614"/>
    <w:rsid w:val="55BCAB28"/>
    <w:rsid w:val="561E5EAD"/>
    <w:rsid w:val="564C5272"/>
    <w:rsid w:val="56677DA5"/>
    <w:rsid w:val="56A3F091"/>
    <w:rsid w:val="56C4F6E8"/>
    <w:rsid w:val="5705A64A"/>
    <w:rsid w:val="5751BBBA"/>
    <w:rsid w:val="57BF2957"/>
    <w:rsid w:val="585E1353"/>
    <w:rsid w:val="58AEEE97"/>
    <w:rsid w:val="59289D46"/>
    <w:rsid w:val="599602EC"/>
    <w:rsid w:val="59A24C6C"/>
    <w:rsid w:val="5A4201D1"/>
    <w:rsid w:val="5A56D315"/>
    <w:rsid w:val="5AC96D91"/>
    <w:rsid w:val="5AE2F69A"/>
    <w:rsid w:val="5C5D74AA"/>
    <w:rsid w:val="5C97123E"/>
    <w:rsid w:val="5CD1D193"/>
    <w:rsid w:val="5CDD4AEE"/>
    <w:rsid w:val="5DB6A8C2"/>
    <w:rsid w:val="5DD89BCC"/>
    <w:rsid w:val="5E08B926"/>
    <w:rsid w:val="5E374B8E"/>
    <w:rsid w:val="5E644910"/>
    <w:rsid w:val="5EA6E31A"/>
    <w:rsid w:val="5EC89C65"/>
    <w:rsid w:val="5ED87328"/>
    <w:rsid w:val="5F486B88"/>
    <w:rsid w:val="5F9C38A9"/>
    <w:rsid w:val="60112272"/>
    <w:rsid w:val="6020D44A"/>
    <w:rsid w:val="6034085A"/>
    <w:rsid w:val="61982A24"/>
    <w:rsid w:val="61DFA0A4"/>
    <w:rsid w:val="61FFFD6B"/>
    <w:rsid w:val="6214CEAF"/>
    <w:rsid w:val="626A4483"/>
    <w:rsid w:val="636FA430"/>
    <w:rsid w:val="63AFD5C2"/>
    <w:rsid w:val="64AF4E7E"/>
    <w:rsid w:val="64BFC007"/>
    <w:rsid w:val="64F187F5"/>
    <w:rsid w:val="64F8D438"/>
    <w:rsid w:val="650BD577"/>
    <w:rsid w:val="6510CDA5"/>
    <w:rsid w:val="656D585F"/>
    <w:rsid w:val="6589ACA6"/>
    <w:rsid w:val="65B0830A"/>
    <w:rsid w:val="660A7E0E"/>
    <w:rsid w:val="66807A7A"/>
    <w:rsid w:val="66CBE6AA"/>
    <w:rsid w:val="67605B61"/>
    <w:rsid w:val="677D8E38"/>
    <w:rsid w:val="67D1AD71"/>
    <w:rsid w:val="6836C812"/>
    <w:rsid w:val="685D9E76"/>
    <w:rsid w:val="68C40583"/>
    <w:rsid w:val="69672FC7"/>
    <w:rsid w:val="697F2934"/>
    <w:rsid w:val="6992FA98"/>
    <w:rsid w:val="6997071C"/>
    <w:rsid w:val="69A1E9E0"/>
    <w:rsid w:val="6A3D9C78"/>
    <w:rsid w:val="6A526DBC"/>
    <w:rsid w:val="6AB1C6F4"/>
    <w:rsid w:val="6AC85BB4"/>
    <w:rsid w:val="6B10E100"/>
    <w:rsid w:val="6B7FA3AB"/>
    <w:rsid w:val="6BCB91DD"/>
    <w:rsid w:val="6BF40B8F"/>
    <w:rsid w:val="6CB1569A"/>
    <w:rsid w:val="6CC0E9B6"/>
    <w:rsid w:val="6D4C6D9D"/>
    <w:rsid w:val="6D5B79A4"/>
    <w:rsid w:val="6D7A4567"/>
    <w:rsid w:val="6D8382B9"/>
    <w:rsid w:val="6D9BD394"/>
    <w:rsid w:val="6DE26F66"/>
    <w:rsid w:val="6E19ECE8"/>
    <w:rsid w:val="6E7CA281"/>
    <w:rsid w:val="6E86ECEC"/>
    <w:rsid w:val="6E8FC630"/>
    <w:rsid w:val="6EF9D3DA"/>
    <w:rsid w:val="6FF0CE74"/>
    <w:rsid w:val="701FA557"/>
    <w:rsid w:val="7029AEB4"/>
    <w:rsid w:val="7092EC51"/>
    <w:rsid w:val="7104E0C2"/>
    <w:rsid w:val="71FB9812"/>
    <w:rsid w:val="72081824"/>
    <w:rsid w:val="721AF0D9"/>
    <w:rsid w:val="723A67E3"/>
    <w:rsid w:val="72412C55"/>
    <w:rsid w:val="72A211E9"/>
    <w:rsid w:val="7360852D"/>
    <w:rsid w:val="74143EC7"/>
    <w:rsid w:val="7436F1DE"/>
    <w:rsid w:val="746E06FA"/>
    <w:rsid w:val="7486D42E"/>
    <w:rsid w:val="74D188F7"/>
    <w:rsid w:val="74EDAA6D"/>
    <w:rsid w:val="753B3C4E"/>
    <w:rsid w:val="757B2AF7"/>
    <w:rsid w:val="75B0E30E"/>
    <w:rsid w:val="761298C7"/>
    <w:rsid w:val="76A8CAD8"/>
    <w:rsid w:val="770BB320"/>
    <w:rsid w:val="7799C5F9"/>
    <w:rsid w:val="781474FF"/>
    <w:rsid w:val="781DF7DB"/>
    <w:rsid w:val="7958E0E9"/>
    <w:rsid w:val="79749CBD"/>
    <w:rsid w:val="79E74576"/>
    <w:rsid w:val="79F8637D"/>
    <w:rsid w:val="7A2C2571"/>
    <w:rsid w:val="7AA3D1C1"/>
    <w:rsid w:val="7AACBF27"/>
    <w:rsid w:val="7AB5A6AA"/>
    <w:rsid w:val="7B936A90"/>
    <w:rsid w:val="7BE809DA"/>
    <w:rsid w:val="7CA57EE9"/>
    <w:rsid w:val="7CB858EA"/>
    <w:rsid w:val="7D3D4E9A"/>
    <w:rsid w:val="7D666A6C"/>
    <w:rsid w:val="7D9417D8"/>
    <w:rsid w:val="7DA8E91C"/>
    <w:rsid w:val="7DE0E64B"/>
    <w:rsid w:val="7EDC4629"/>
    <w:rsid w:val="7F82C000"/>
    <w:rsid w:val="7FAF8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876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6F1B"/>
  </w:style>
  <w:style w:type="character" w:customStyle="1" w:styleId="eop">
    <w:name w:val="eop"/>
    <w:basedOn w:val="DefaultParagraphFont"/>
    <w:rsid w:val="00876F1B"/>
  </w:style>
  <w:style w:type="numbering" w:customStyle="1" w:styleId="CurrentList1">
    <w:name w:val="Current List1"/>
    <w:uiPriority w:val="99"/>
    <w:rsid w:val="0033646E"/>
    <w:pPr>
      <w:numPr>
        <w:numId w:val="21"/>
      </w:numPr>
    </w:pPr>
  </w:style>
  <w:style w:type="character" w:customStyle="1" w:styleId="findhit">
    <w:name w:val="findhit"/>
    <w:basedOn w:val="DefaultParagraphFont"/>
    <w:rsid w:val="00027209"/>
  </w:style>
  <w:style w:type="paragraph" w:styleId="NormalWeb">
    <w:name w:val="Normal (Web)"/>
    <w:basedOn w:val="Normal"/>
    <w:uiPriority w:val="99"/>
    <w:unhideWhenUsed/>
    <w:rsid w:val="005A19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28760514">
      <w:bodyDiv w:val="1"/>
      <w:marLeft w:val="0"/>
      <w:marRight w:val="0"/>
      <w:marTop w:val="0"/>
      <w:marBottom w:val="0"/>
      <w:divBdr>
        <w:top w:val="none" w:sz="0" w:space="0" w:color="auto"/>
        <w:left w:val="none" w:sz="0" w:space="0" w:color="auto"/>
        <w:bottom w:val="none" w:sz="0" w:space="0" w:color="auto"/>
        <w:right w:val="none" w:sz="0" w:space="0" w:color="auto"/>
      </w:divBdr>
      <w:divsChild>
        <w:div w:id="619609888">
          <w:marLeft w:val="0"/>
          <w:marRight w:val="0"/>
          <w:marTop w:val="0"/>
          <w:marBottom w:val="0"/>
          <w:divBdr>
            <w:top w:val="none" w:sz="0" w:space="0" w:color="auto"/>
            <w:left w:val="none" w:sz="0" w:space="0" w:color="auto"/>
            <w:bottom w:val="none" w:sz="0" w:space="0" w:color="auto"/>
            <w:right w:val="none" w:sz="0" w:space="0" w:color="auto"/>
          </w:divBdr>
          <w:divsChild>
            <w:div w:id="1773088292">
              <w:marLeft w:val="0"/>
              <w:marRight w:val="0"/>
              <w:marTop w:val="0"/>
              <w:marBottom w:val="0"/>
              <w:divBdr>
                <w:top w:val="none" w:sz="0" w:space="0" w:color="auto"/>
                <w:left w:val="none" w:sz="0" w:space="0" w:color="auto"/>
                <w:bottom w:val="none" w:sz="0" w:space="0" w:color="auto"/>
                <w:right w:val="none" w:sz="0" w:space="0" w:color="auto"/>
              </w:divBdr>
            </w:div>
            <w:div w:id="1917937090">
              <w:marLeft w:val="0"/>
              <w:marRight w:val="0"/>
              <w:marTop w:val="0"/>
              <w:marBottom w:val="0"/>
              <w:divBdr>
                <w:top w:val="none" w:sz="0" w:space="0" w:color="auto"/>
                <w:left w:val="none" w:sz="0" w:space="0" w:color="auto"/>
                <w:bottom w:val="none" w:sz="0" w:space="0" w:color="auto"/>
                <w:right w:val="none" w:sz="0" w:space="0" w:color="auto"/>
              </w:divBdr>
            </w:div>
          </w:divsChild>
        </w:div>
        <w:div w:id="676425487">
          <w:marLeft w:val="0"/>
          <w:marRight w:val="0"/>
          <w:marTop w:val="0"/>
          <w:marBottom w:val="0"/>
          <w:divBdr>
            <w:top w:val="none" w:sz="0" w:space="0" w:color="auto"/>
            <w:left w:val="none" w:sz="0" w:space="0" w:color="auto"/>
            <w:bottom w:val="none" w:sz="0" w:space="0" w:color="auto"/>
            <w:right w:val="none" w:sz="0" w:space="0" w:color="auto"/>
          </w:divBdr>
          <w:divsChild>
            <w:div w:id="496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39762457">
      <w:bodyDiv w:val="1"/>
      <w:marLeft w:val="0"/>
      <w:marRight w:val="0"/>
      <w:marTop w:val="0"/>
      <w:marBottom w:val="0"/>
      <w:divBdr>
        <w:top w:val="none" w:sz="0" w:space="0" w:color="auto"/>
        <w:left w:val="none" w:sz="0" w:space="0" w:color="auto"/>
        <w:bottom w:val="none" w:sz="0" w:space="0" w:color="auto"/>
        <w:right w:val="none" w:sz="0" w:space="0" w:color="auto"/>
      </w:divBdr>
      <w:divsChild>
        <w:div w:id="771828000">
          <w:marLeft w:val="0"/>
          <w:marRight w:val="0"/>
          <w:marTop w:val="0"/>
          <w:marBottom w:val="0"/>
          <w:divBdr>
            <w:top w:val="none" w:sz="0" w:space="0" w:color="auto"/>
            <w:left w:val="none" w:sz="0" w:space="0" w:color="auto"/>
            <w:bottom w:val="none" w:sz="0" w:space="0" w:color="auto"/>
            <w:right w:val="none" w:sz="0" w:space="0" w:color="auto"/>
          </w:divBdr>
        </w:div>
        <w:div w:id="885800508">
          <w:marLeft w:val="0"/>
          <w:marRight w:val="0"/>
          <w:marTop w:val="0"/>
          <w:marBottom w:val="0"/>
          <w:divBdr>
            <w:top w:val="none" w:sz="0" w:space="0" w:color="auto"/>
            <w:left w:val="none" w:sz="0" w:space="0" w:color="auto"/>
            <w:bottom w:val="none" w:sz="0" w:space="0" w:color="auto"/>
            <w:right w:val="none" w:sz="0" w:space="0" w:color="auto"/>
          </w:divBdr>
        </w:div>
      </w:divsChild>
    </w:div>
    <w:div w:id="1465200259">
      <w:bodyDiv w:val="1"/>
      <w:marLeft w:val="0"/>
      <w:marRight w:val="0"/>
      <w:marTop w:val="0"/>
      <w:marBottom w:val="0"/>
      <w:divBdr>
        <w:top w:val="none" w:sz="0" w:space="0" w:color="auto"/>
        <w:left w:val="none" w:sz="0" w:space="0" w:color="auto"/>
        <w:bottom w:val="none" w:sz="0" w:space="0" w:color="auto"/>
        <w:right w:val="none" w:sz="0" w:space="0" w:color="auto"/>
      </w:divBdr>
      <w:divsChild>
        <w:div w:id="466900547">
          <w:marLeft w:val="0"/>
          <w:marRight w:val="0"/>
          <w:marTop w:val="0"/>
          <w:marBottom w:val="0"/>
          <w:divBdr>
            <w:top w:val="none" w:sz="0" w:space="0" w:color="auto"/>
            <w:left w:val="none" w:sz="0" w:space="0" w:color="auto"/>
            <w:bottom w:val="none" w:sz="0" w:space="0" w:color="auto"/>
            <w:right w:val="none" w:sz="0" w:space="0" w:color="auto"/>
          </w:divBdr>
        </w:div>
        <w:div w:id="1632903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BUDGET@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ISN-CTR-BUDGET@state.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CTRSpecialProjectsProposals@state.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Furman, Bryan J</DisplayName>
        <AccountId>25243</AccountId>
        <AccountType/>
      </UserInfo>
      <UserInfo>
        <DisplayName>O'Hara, Sean P</DisplayName>
        <AccountId>3674</AccountId>
        <AccountType/>
      </UserInfo>
      <UserInfo>
        <DisplayName>Reisig, Andrew R</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s>
</ds:datastoreItem>
</file>

<file path=customXml/itemProps3.xml><?xml version="1.0" encoding="utf-8"?>
<ds:datastoreItem xmlns:ds="http://schemas.openxmlformats.org/officeDocument/2006/customXml" ds:itemID="{411E08CE-2FCF-4576-8F87-A7757A15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5949</Words>
  <Characters>33910</Characters>
  <Application>Microsoft Office Word</Application>
  <DocSecurity>0</DocSecurity>
  <Lines>282</Lines>
  <Paragraphs>79</Paragraphs>
  <ScaleCrop>false</ScaleCrop>
  <Company/>
  <LinksUpToDate>false</LinksUpToDate>
  <CharactersWithSpaces>39780</CharactersWithSpaces>
  <SharedDoc>false</SharedDoc>
  <HLinks>
    <vt:vector size="144" baseType="variant">
      <vt:variant>
        <vt:i4>1441851</vt:i4>
      </vt:variant>
      <vt:variant>
        <vt:i4>69</vt:i4>
      </vt:variant>
      <vt:variant>
        <vt:i4>0</vt:i4>
      </vt:variant>
      <vt:variant>
        <vt:i4>5</vt:i4>
      </vt:variant>
      <vt:variant>
        <vt:lpwstr>mailto:ISN-CTR-BUDGET@state.gov</vt:lpwstr>
      </vt:variant>
      <vt:variant>
        <vt:lpwstr/>
      </vt:variant>
      <vt:variant>
        <vt:i4>6488154</vt:i4>
      </vt:variant>
      <vt:variant>
        <vt:i4>66</vt:i4>
      </vt:variant>
      <vt:variant>
        <vt:i4>0</vt:i4>
      </vt:variant>
      <vt:variant>
        <vt:i4>5</vt:i4>
      </vt:variant>
      <vt:variant>
        <vt:lpwstr>mailto:XXXX@state.gov</vt:lpwstr>
      </vt:variant>
      <vt:variant>
        <vt:lpwstr/>
      </vt:variant>
      <vt:variant>
        <vt:i4>6422585</vt:i4>
      </vt:variant>
      <vt:variant>
        <vt:i4>63</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1441851</vt:i4>
      </vt:variant>
      <vt:variant>
        <vt:i4>60</vt:i4>
      </vt:variant>
      <vt:variant>
        <vt:i4>0</vt:i4>
      </vt:variant>
      <vt:variant>
        <vt:i4>5</vt:i4>
      </vt:variant>
      <vt:variant>
        <vt:lpwstr>mailto:ISN-CTR-BUDGET@state.gov</vt:lpwstr>
      </vt:variant>
      <vt:variant>
        <vt:lpwstr/>
      </vt:variant>
      <vt:variant>
        <vt:i4>8126503</vt:i4>
      </vt:variant>
      <vt:variant>
        <vt:i4>57</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54</vt:i4>
      </vt:variant>
      <vt:variant>
        <vt:i4>0</vt:i4>
      </vt:variant>
      <vt:variant>
        <vt:i4>5</vt:i4>
      </vt:variant>
      <vt:variant>
        <vt:lpwstr>https://www.state.gov/about-us-office-of-the-procurement-executive/</vt:lpwstr>
      </vt:variant>
      <vt:variant>
        <vt:lpwstr/>
      </vt:variant>
      <vt:variant>
        <vt:i4>5832782</vt:i4>
      </vt:variant>
      <vt:variant>
        <vt:i4>51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48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45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42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39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36</vt:i4>
      </vt:variant>
      <vt:variant>
        <vt:i4>0</vt:i4>
      </vt:variant>
      <vt:variant>
        <vt:i4>5</vt:i4>
      </vt:variant>
      <vt:variant>
        <vt:lpwstr>https://www.ecfr.gov/cgi-bin/text-idx?SID=81a5f41de81c46a9844617d93a9db081&amp;mc=true&amp;node=pt2.1.25&amp;rgn=div5</vt:lpwstr>
      </vt:variant>
      <vt:variant>
        <vt:lpwstr/>
      </vt:variant>
      <vt:variant>
        <vt:i4>5177409</vt:i4>
      </vt:variant>
      <vt:variant>
        <vt:i4>33</vt:i4>
      </vt:variant>
      <vt:variant>
        <vt:i4>0</vt:i4>
      </vt:variant>
      <vt:variant>
        <vt:i4>5</vt:i4>
      </vt:variant>
      <vt:variant>
        <vt:lpwstr>https://pms.psc.gov/</vt:lpwstr>
      </vt:variant>
      <vt:variant>
        <vt:lpwstr/>
      </vt:variant>
      <vt:variant>
        <vt:i4>1441851</vt:i4>
      </vt:variant>
      <vt:variant>
        <vt:i4>30</vt:i4>
      </vt:variant>
      <vt:variant>
        <vt:i4>0</vt:i4>
      </vt:variant>
      <vt:variant>
        <vt:i4>5</vt:i4>
      </vt:variant>
      <vt:variant>
        <vt:lpwstr>mailto:ISN-CTR-BUDGET@state.gov</vt:lpwstr>
      </vt:variant>
      <vt:variant>
        <vt:lpwstr/>
      </vt:variant>
      <vt:variant>
        <vt:i4>3604526</vt:i4>
      </vt:variant>
      <vt:variant>
        <vt:i4>27</vt:i4>
      </vt:variant>
      <vt:variant>
        <vt:i4>0</vt:i4>
      </vt:variant>
      <vt:variant>
        <vt:i4>5</vt:i4>
      </vt:variant>
      <vt:variant>
        <vt:lpwstr>http://www.grants.gov/</vt:lpwstr>
      </vt:variant>
      <vt:variant>
        <vt:lpwstr/>
      </vt:variant>
      <vt:variant>
        <vt:i4>5046374</vt:i4>
      </vt:variant>
      <vt:variant>
        <vt:i4>24</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5046374</vt:i4>
      </vt:variant>
      <vt:variant>
        <vt:i4>21</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5701742</vt:i4>
      </vt:variant>
      <vt:variant>
        <vt:i4>18</vt:i4>
      </vt:variant>
      <vt:variant>
        <vt:i4>0</vt:i4>
      </vt:variant>
      <vt:variant>
        <vt:i4>5</vt:i4>
      </vt:variant>
      <vt:variant>
        <vt:lpwstr>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vt:lpwstr>
      </vt:variant>
      <vt:variant>
        <vt:lpwstr>_blank</vt:lpwstr>
      </vt:variant>
      <vt:variant>
        <vt:i4>4522035</vt:i4>
      </vt:variant>
      <vt:variant>
        <vt:i4>15</vt:i4>
      </vt:variant>
      <vt:variant>
        <vt:i4>0</vt:i4>
      </vt:variant>
      <vt:variant>
        <vt:i4>5</vt:i4>
      </vt:variant>
      <vt:variant>
        <vt:lpwstr>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vt:lpwstr>
      </vt:variant>
      <vt:variant>
        <vt:lpwstr>_blank</vt:lpwstr>
      </vt:variant>
      <vt:variant>
        <vt:i4>2424891</vt:i4>
      </vt:variant>
      <vt:variant>
        <vt:i4>12</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7012398</vt:i4>
      </vt:variant>
      <vt:variant>
        <vt:i4>9</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6</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2424891</vt:i4>
      </vt:variant>
      <vt:variant>
        <vt:i4>3</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2022-10-31T19:52:00Z</dcterms:created>
  <dcterms:modified xsi:type="dcterms:W3CDTF">2022-11-01T02:39:00Z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1665d9ee-429a-4d5f-97cc-cfb56e044a6e_Enabled">
    <vt:lpwstr>true</vt:lpwstr>
  </property>
  <property fmtid="{D5CDD505-2E9C-101B-9397-08002B2CF9AE}" pid="10" name="MSIP_Label_1665d9ee-429a-4d5f-97cc-cfb56e044a6e_SetDate">
    <vt:lpwstr>2022-03-23T16:27:49Z</vt:lpwstr>
  </property>
  <property fmtid="{D5CDD505-2E9C-101B-9397-08002B2CF9AE}" pid="11" name="MSIP_Label_1665d9ee-429a-4d5f-97cc-cfb56e044a6e_Method">
    <vt:lpwstr>Privileged</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ActionId">
    <vt:lpwstr>037b994a-cc83-46a8-8b23-3cca449748d0</vt:lpwstr>
  </property>
  <property fmtid="{D5CDD505-2E9C-101B-9397-08002B2CF9AE}" pid="15" name="MSIP_Label_1665d9ee-429a-4d5f-97cc-cfb56e044a6e_ContentBits">
    <vt:lpwstr>0</vt:lpwstr>
  </property>
  <property fmtid="{D5CDD505-2E9C-101B-9397-08002B2CF9AE}" pid="16" name="ContentTypeId">
    <vt:lpwstr>0x0101001338E58C0D7EB144B531F8D824EFB7ED</vt:lpwstr>
  </property>
</Properties>
</file>