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DFB0E" w14:textId="5184C014" w:rsidR="437EF3EC" w:rsidRDefault="437EF3EC" w:rsidP="2DA4B8A2">
      <w:pPr>
        <w:jc w:val="center"/>
        <w:rPr>
          <w:rFonts w:ascii="Calibri" w:eastAsia="Calibri" w:hAnsi="Calibri" w:cs="Calibri"/>
          <w:color w:val="000000" w:themeColor="text1"/>
          <w:sz w:val="28"/>
          <w:szCs w:val="28"/>
        </w:rPr>
      </w:pPr>
      <w:r w:rsidRPr="2DA4B8A2">
        <w:rPr>
          <w:rFonts w:ascii="Calibri" w:eastAsia="Calibri" w:hAnsi="Calibri" w:cs="Calibri"/>
          <w:b/>
          <w:bCs/>
          <w:color w:val="000000" w:themeColor="text1"/>
          <w:sz w:val="28"/>
          <w:szCs w:val="28"/>
        </w:rPr>
        <w:t xml:space="preserve">Appendix C – </w:t>
      </w:r>
      <w:r w:rsidR="1E36A246" w:rsidRPr="2DA4B8A2">
        <w:rPr>
          <w:rFonts w:ascii="Calibri" w:eastAsia="Calibri" w:hAnsi="Calibri" w:cs="Calibri"/>
          <w:b/>
          <w:bCs/>
          <w:color w:val="000000" w:themeColor="text1"/>
          <w:sz w:val="28"/>
          <w:szCs w:val="28"/>
        </w:rPr>
        <w:t>Review and Selection Process</w:t>
      </w:r>
    </w:p>
    <w:p w14:paraId="1A548D0E" w14:textId="07E0ADD4" w:rsidR="2DA4B8A2" w:rsidRDefault="2DA4B8A2" w:rsidP="2DA4B8A2">
      <w:pPr>
        <w:jc w:val="center"/>
        <w:rPr>
          <w:rFonts w:ascii="Calibri" w:eastAsia="Calibri" w:hAnsi="Calibri" w:cs="Calibri"/>
          <w:b/>
          <w:bCs/>
          <w:color w:val="000000" w:themeColor="text1"/>
          <w:sz w:val="28"/>
          <w:szCs w:val="28"/>
        </w:rPr>
      </w:pPr>
    </w:p>
    <w:p w14:paraId="5A7B809E" w14:textId="247BF2C8" w:rsidR="3C288F5A" w:rsidRDefault="3C288F5A" w:rsidP="2DA4B8A2">
      <w:pPr>
        <w:rPr>
          <w:rFonts w:ascii="Calibri" w:eastAsia="Calibri" w:hAnsi="Calibri" w:cs="Calibri"/>
          <w:color w:val="444444"/>
          <w:sz w:val="24"/>
          <w:szCs w:val="24"/>
        </w:rPr>
      </w:pPr>
      <w:r w:rsidRPr="2DA4B8A2">
        <w:rPr>
          <w:rFonts w:ascii="Calibri" w:eastAsia="Calibri" w:hAnsi="Calibri" w:cs="Calibri"/>
          <w:color w:val="000000" w:themeColor="text1"/>
          <w:sz w:val="24"/>
          <w:szCs w:val="24"/>
        </w:rPr>
        <w:t>Applications will be reviewed and selected in 3 Phases. Applications submitted by eligible coalitions must demonstrate that they meet all eligibility requirements.  Phase I Eligibility reviews will consist of two parts.  In the Eligibility Part 1 Review, all applications will be initially reviewed to determine that the coalition is eligible based on the criteria stated in the NOFO. Non-responsive applications will not advance to Eligibility Part 2 review. Applicants will be notified that their applications did not meet published submission requirements.  </w:t>
      </w:r>
    </w:p>
    <w:p w14:paraId="7DE3E2AA" w14:textId="7A4C82E3" w:rsidR="2DA4B8A2" w:rsidRDefault="2DA4B8A2" w:rsidP="2DA4B8A2">
      <w:pPr>
        <w:spacing w:line="240" w:lineRule="exact"/>
        <w:rPr>
          <w:rFonts w:ascii="Calibri" w:eastAsia="Calibri" w:hAnsi="Calibri" w:cs="Calibri"/>
          <w:color w:val="444444"/>
          <w:sz w:val="24"/>
          <w:szCs w:val="24"/>
        </w:rPr>
      </w:pPr>
    </w:p>
    <w:p w14:paraId="6D215C42" w14:textId="312FFCC3" w:rsidR="3C288F5A" w:rsidRDefault="3C288F5A" w:rsidP="2DA4B8A2">
      <w:pPr>
        <w:rPr>
          <w:rFonts w:ascii="Calibri" w:eastAsia="Calibri" w:hAnsi="Calibri" w:cs="Calibri"/>
          <w:color w:val="444444"/>
          <w:sz w:val="24"/>
          <w:szCs w:val="24"/>
        </w:rPr>
      </w:pPr>
      <w:r w:rsidRPr="2DA4B8A2">
        <w:rPr>
          <w:rFonts w:ascii="Calibri" w:eastAsia="Calibri" w:hAnsi="Calibri" w:cs="Calibri"/>
          <w:color w:val="000000" w:themeColor="text1"/>
          <w:sz w:val="24"/>
          <w:szCs w:val="24"/>
        </w:rPr>
        <w:t>Those applications that meet the Part 1 Eligibility review will move to the Eligibility Part 2 Review.  In Part 2, complete applications will advance for the statutory eligibility review conducted by ONDCP and CDC Program Officials to determine whether applicants meet all Statutory Eligibility Requirements outlined in Table 3 of the NOFO</w:t>
      </w:r>
      <w:r w:rsidRPr="2DA4B8A2">
        <w:rPr>
          <w:rFonts w:ascii="Calibri" w:eastAsia="Calibri" w:hAnsi="Calibri" w:cs="Calibri"/>
          <w:b/>
          <w:bCs/>
          <w:color w:val="000000" w:themeColor="text1"/>
          <w:sz w:val="24"/>
          <w:szCs w:val="24"/>
        </w:rPr>
        <w:t>. </w:t>
      </w:r>
      <w:r w:rsidRPr="2DA4B8A2">
        <w:rPr>
          <w:rFonts w:ascii="Calibri" w:eastAsia="Calibri" w:hAnsi="Calibri" w:cs="Calibri"/>
          <w:color w:val="000000" w:themeColor="text1"/>
          <w:sz w:val="24"/>
          <w:szCs w:val="24"/>
        </w:rPr>
        <w:t>Ineligible applications will not advance to Phase II review. Applicants will be notified that their applications were deemed ineligible.  All applications that are deemed eligible and responsive will then be evaluated by a review panel.</w:t>
      </w:r>
    </w:p>
    <w:p w14:paraId="48DCEC74" w14:textId="5ED4B4BF" w:rsidR="2DA4B8A2" w:rsidRDefault="2DA4B8A2" w:rsidP="2DA4B8A2">
      <w:pPr>
        <w:spacing w:line="240" w:lineRule="exact"/>
        <w:rPr>
          <w:rFonts w:ascii="Calibri" w:eastAsia="Calibri" w:hAnsi="Calibri" w:cs="Calibri"/>
          <w:color w:val="444444"/>
          <w:sz w:val="24"/>
          <w:szCs w:val="24"/>
        </w:rPr>
      </w:pPr>
    </w:p>
    <w:p w14:paraId="0B479C69" w14:textId="5FDB0826" w:rsidR="00BA5250" w:rsidRDefault="3C288F5A" w:rsidP="00BA5250">
      <w:pPr>
        <w:rPr>
          <w:sz w:val="24"/>
          <w:szCs w:val="24"/>
        </w:rPr>
      </w:pPr>
      <w:r w:rsidRPr="2DA4B8A2">
        <w:rPr>
          <w:rFonts w:ascii="Calibri" w:eastAsia="Calibri" w:hAnsi="Calibri" w:cs="Calibri"/>
          <w:color w:val="000000" w:themeColor="text1"/>
          <w:sz w:val="24"/>
          <w:szCs w:val="24"/>
        </w:rPr>
        <w:t xml:space="preserve">All eligible applications will advance to Phase II review and will then be scored through a merit review process according to the evaluation review criteria described in Section E. Upon full completion of the statutory eligibility review process and review of final scores, ONDCP begins funding with the highest scoring application until all funds are exhausted.  ONDCP may also take into consideration factors relating to rural, American Indian/Alaska Native, and </w:t>
      </w:r>
      <w:proofErr w:type="gramStart"/>
      <w:r w:rsidRPr="2DA4B8A2">
        <w:rPr>
          <w:rFonts w:ascii="Calibri" w:eastAsia="Calibri" w:hAnsi="Calibri" w:cs="Calibri"/>
          <w:color w:val="000000" w:themeColor="text1"/>
          <w:sz w:val="24"/>
          <w:szCs w:val="24"/>
        </w:rPr>
        <w:t>economically disadvantaged</w:t>
      </w:r>
      <w:proofErr w:type="gramEnd"/>
      <w:r w:rsidRPr="2DA4B8A2">
        <w:rPr>
          <w:rFonts w:ascii="Calibri" w:eastAsia="Calibri" w:hAnsi="Calibri" w:cs="Calibri"/>
          <w:color w:val="000000" w:themeColor="text1"/>
          <w:sz w:val="24"/>
          <w:szCs w:val="24"/>
        </w:rPr>
        <w:t xml:space="preserve"> communities. Final authority lies with the </w:t>
      </w:r>
      <w:r w:rsidR="00304DDD">
        <w:rPr>
          <w:rFonts w:ascii="Calibri" w:eastAsia="Calibri" w:hAnsi="Calibri" w:cs="Calibri"/>
          <w:color w:val="000000" w:themeColor="text1"/>
          <w:sz w:val="24"/>
          <w:szCs w:val="24"/>
        </w:rPr>
        <w:t>CARA</w:t>
      </w:r>
      <w:r w:rsidRPr="2DA4B8A2">
        <w:rPr>
          <w:rFonts w:ascii="Calibri" w:eastAsia="Calibri" w:hAnsi="Calibri" w:cs="Calibri"/>
          <w:color w:val="000000" w:themeColor="text1"/>
          <w:sz w:val="24"/>
          <w:szCs w:val="24"/>
        </w:rPr>
        <w:t xml:space="preserve"> Administrator to determine the eligibility of an application.</w:t>
      </w:r>
      <w:r w:rsidR="00BA5250">
        <w:rPr>
          <w:rFonts w:ascii="Calibri" w:eastAsia="Calibri" w:hAnsi="Calibri" w:cs="Calibri"/>
          <w:color w:val="000000" w:themeColor="text1"/>
          <w:sz w:val="24"/>
          <w:szCs w:val="24"/>
        </w:rPr>
        <w:t xml:space="preserve"> </w:t>
      </w:r>
      <w:r w:rsidR="00BA5250" w:rsidRPr="00BA5250">
        <w:rPr>
          <w:sz w:val="24"/>
          <w:szCs w:val="24"/>
        </w:rPr>
        <w:t>CDC’s National Center for Injury Prevention and Control (NCIPC) will serve as the day-to-day administrator of DFC and CARA grant programs.</w:t>
      </w:r>
    </w:p>
    <w:p w14:paraId="594A893B" w14:textId="55482A9B" w:rsidR="3C288F5A" w:rsidRDefault="3C288F5A" w:rsidP="2DA4B8A2">
      <w:pPr>
        <w:rPr>
          <w:rFonts w:ascii="Calibri" w:eastAsia="Calibri" w:hAnsi="Calibri" w:cs="Calibri"/>
          <w:color w:val="444444"/>
          <w:sz w:val="24"/>
          <w:szCs w:val="24"/>
        </w:rPr>
      </w:pPr>
    </w:p>
    <w:p w14:paraId="13AA4DE3" w14:textId="45575144" w:rsidR="2DA4B8A2" w:rsidRDefault="2DA4B8A2" w:rsidP="2DA4B8A2">
      <w:pPr>
        <w:spacing w:line="240" w:lineRule="exact"/>
        <w:rPr>
          <w:rFonts w:ascii="Calibri" w:eastAsia="Calibri" w:hAnsi="Calibri" w:cs="Calibri"/>
          <w:color w:val="444444"/>
          <w:sz w:val="24"/>
          <w:szCs w:val="24"/>
        </w:rPr>
      </w:pPr>
    </w:p>
    <w:p w14:paraId="7E5470ED" w14:textId="1BFB2C40" w:rsidR="2DA4B8A2" w:rsidRDefault="2DA4B8A2" w:rsidP="2DA4B8A2">
      <w:pPr>
        <w:jc w:val="center"/>
        <w:rPr>
          <w:rFonts w:ascii="Calibri" w:eastAsia="Calibri" w:hAnsi="Calibri" w:cs="Calibri"/>
          <w:b/>
          <w:bCs/>
          <w:color w:val="000000" w:themeColor="text1"/>
          <w:sz w:val="28"/>
          <w:szCs w:val="28"/>
        </w:rPr>
      </w:pPr>
    </w:p>
    <w:sectPr w:rsidR="2DA4B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Mjc2NTc3NjIwMzBT0lEKTi0uzszPAykwrAUAMCCUHCwAAAA="/>
  </w:docVars>
  <w:rsids>
    <w:rsidRoot w:val="4AD6BCF4"/>
    <w:rsid w:val="000F31B4"/>
    <w:rsid w:val="00304DDD"/>
    <w:rsid w:val="00547DC1"/>
    <w:rsid w:val="008B078A"/>
    <w:rsid w:val="00BA24AF"/>
    <w:rsid w:val="00BA5250"/>
    <w:rsid w:val="00BA6739"/>
    <w:rsid w:val="00CA579F"/>
    <w:rsid w:val="098EF826"/>
    <w:rsid w:val="13290C7D"/>
    <w:rsid w:val="1E36A246"/>
    <w:rsid w:val="2DA4B8A2"/>
    <w:rsid w:val="3C288F5A"/>
    <w:rsid w:val="3E845658"/>
    <w:rsid w:val="437EF3EC"/>
    <w:rsid w:val="47DF68EC"/>
    <w:rsid w:val="4AD6BCF4"/>
    <w:rsid w:val="515722A1"/>
    <w:rsid w:val="526738D9"/>
    <w:rsid w:val="659D8BA7"/>
    <w:rsid w:val="719A9A54"/>
    <w:rsid w:val="748E82D0"/>
    <w:rsid w:val="7E5F0C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BCF4"/>
  <w15:chartTrackingRefBased/>
  <w15:docId w15:val="{6CCD1717-E762-4968-902A-E539348A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44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Dreyfuss, Gedaliah (CDC/DDNID/NCIPC/OD) (CTR)</dc:creator>
  <cp:keywords/>
  <dc:description/>
  <cp:lastModifiedBy>Heirendt, Wendy J. (CDC/DDNID/NCIPC/DOP)</cp:lastModifiedBy>
  <cp:revision>10</cp:revision>
  <dcterms:created xsi:type="dcterms:W3CDTF">2021-01-21T17:19:00Z</dcterms:created>
  <dcterms:modified xsi:type="dcterms:W3CDTF">2021-01-26T14:29:00Z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2021-01-22T21:49:41Z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5f0075f8-c66d-498c-811d-79a9f0d2413a</vt:lpwstr>
  </property>
  <property fmtid="{D5CDD505-2E9C-101B-9397-08002B2CF9AE}" pid="8" name="MSIP_Label_7b94a7b8-f06c-4dfe-bdcc-9b548fd58c31_ContentBits">
    <vt:lpwstr>0</vt:lpwstr>
  </property>
</Properties>
</file>