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46D9FF58"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8A5B25">
        <w:rPr>
          <w:rFonts w:ascii="Times New Roman" w:eastAsia="Times New Roman" w:hAnsi="Times New Roman"/>
          <w:b/>
          <w:szCs w:val="24"/>
          <w:lang w:val="en-US"/>
        </w:rPr>
        <w:t>Gulf</w:t>
      </w:r>
      <w:r w:rsidR="004720F6">
        <w:rPr>
          <w:rFonts w:ascii="Times New Roman" w:eastAsia="Times New Roman" w:hAnsi="Times New Roman"/>
          <w:b/>
          <w:szCs w:val="24"/>
          <w:lang w:val="en-US"/>
        </w:rPr>
        <w:t xml:space="preserve"> Coast</w:t>
      </w:r>
      <w:r>
        <w:rPr>
          <w:rFonts w:ascii="Times New Roman" w:eastAsia="Times New Roman" w:hAnsi="Times New Roman"/>
          <w:b/>
          <w:szCs w:val="24"/>
          <w:lang w:val="en-US"/>
        </w:rPr>
        <w:t xml:space="preserve"> Cooperative Ecosystem Studies Unit</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4B3593" w:rsidRDefault="00101895" w:rsidP="00101895">
      <w:pPr>
        <w:pStyle w:val="Heading1"/>
        <w:rPr>
          <w:rFonts w:ascii="Times New Roman" w:hAnsi="Times New Roman"/>
          <w:szCs w:val="24"/>
        </w:rPr>
      </w:pPr>
      <w:r w:rsidRPr="004B3593">
        <w:rPr>
          <w:rFonts w:ascii="Times New Roman" w:hAnsi="Times New Roman"/>
          <w:szCs w:val="24"/>
        </w:rPr>
        <w:t xml:space="preserve">Funding Opportunity Description </w:t>
      </w:r>
    </w:p>
    <w:p w14:paraId="5FD1E158" w14:textId="4C6B751B" w:rsidR="00C06BE0" w:rsidRPr="004B3593" w:rsidRDefault="008C51C7" w:rsidP="00C06BE0">
      <w:pPr>
        <w:pStyle w:val="NormalWeb"/>
        <w:tabs>
          <w:tab w:val="left" w:pos="9360"/>
        </w:tabs>
        <w:spacing w:before="0" w:beforeAutospacing="0" w:after="0" w:afterAutospacing="0"/>
      </w:pPr>
      <w:r w:rsidRPr="004B3593">
        <w:t xml:space="preserve">The USGS is offering a funding opportunity to a CESU partner for research in understanding interactions between </w:t>
      </w:r>
      <w:r w:rsidR="001D0CF3" w:rsidRPr="004B3593">
        <w:t>cotton farming</w:t>
      </w:r>
      <w:r w:rsidR="00162952" w:rsidRPr="004B3593">
        <w:t xml:space="preserve"> and avian </w:t>
      </w:r>
      <w:r w:rsidRPr="004B3593">
        <w:t xml:space="preserve">microbiome, which will: 1) use shotgun </w:t>
      </w:r>
      <w:proofErr w:type="spellStart"/>
      <w:r w:rsidRPr="004B3593">
        <w:t>metatranscriptomic</w:t>
      </w:r>
      <w:proofErr w:type="spellEnd"/>
      <w:r w:rsidRPr="004B3593">
        <w:t xml:space="preserve"> and other omics analyses to evaluate the </w:t>
      </w:r>
      <w:r w:rsidR="00B84296" w:rsidRPr="004B3593">
        <w:t>effects of</w:t>
      </w:r>
      <w:r w:rsidR="002851E7" w:rsidRPr="004B3593">
        <w:t xml:space="preserve"> exposure to pesticides and </w:t>
      </w:r>
      <w:r w:rsidR="00047BEC" w:rsidRPr="004B3593">
        <w:t>associated</w:t>
      </w:r>
      <w:r w:rsidR="00B84296" w:rsidRPr="004B3593">
        <w:t xml:space="preserve"> </w:t>
      </w:r>
      <w:r w:rsidR="002851E7" w:rsidRPr="004B3593">
        <w:t>diet</w:t>
      </w:r>
      <w:r w:rsidR="00AE7DC1" w:rsidRPr="004B3593">
        <w:t>ary</w:t>
      </w:r>
      <w:r w:rsidR="002851E7" w:rsidRPr="004B3593">
        <w:t xml:space="preserve"> changes </w:t>
      </w:r>
      <w:r w:rsidR="00B84296" w:rsidRPr="004B3593">
        <w:t>on</w:t>
      </w:r>
      <w:r w:rsidRPr="004B3593">
        <w:t xml:space="preserve"> all members of </w:t>
      </w:r>
      <w:r w:rsidR="00225E3E" w:rsidRPr="004B3593">
        <w:t>gut</w:t>
      </w:r>
      <w:r w:rsidRPr="004B3593">
        <w:t xml:space="preserve"> microbiota from multiple domains (prokaryotes, eukaryotes, viruses) </w:t>
      </w:r>
      <w:r w:rsidR="00B84296" w:rsidRPr="004B3593">
        <w:t>and microbiome function</w:t>
      </w:r>
      <w:r w:rsidR="00C91A2F" w:rsidRPr="004B3593">
        <w:t xml:space="preserve"> (metabolic pathways, gene ontology terms</w:t>
      </w:r>
      <w:r w:rsidR="008E450F" w:rsidRPr="004B3593">
        <w:t>, antibiotic resistance, virulence)</w:t>
      </w:r>
      <w:r w:rsidR="00225E3E" w:rsidRPr="004B3593">
        <w:t xml:space="preserve"> in birds from different </w:t>
      </w:r>
      <w:r w:rsidR="00D132F4" w:rsidRPr="004B3593">
        <w:t>trophic</w:t>
      </w:r>
      <w:r w:rsidR="00225E3E" w:rsidRPr="004B3593">
        <w:t xml:space="preserve"> levels</w:t>
      </w:r>
      <w:r w:rsidR="00D132F4" w:rsidRPr="004B3593">
        <w:t xml:space="preserve"> (primary consumers, insectivores, </w:t>
      </w:r>
      <w:proofErr w:type="spellStart"/>
      <w:r w:rsidR="00D132F4" w:rsidRPr="004B3593">
        <w:t>etc</w:t>
      </w:r>
      <w:proofErr w:type="spellEnd"/>
      <w:r w:rsidR="009E30F1" w:rsidRPr="004B3593">
        <w:t>)</w:t>
      </w:r>
      <w:r w:rsidRPr="004B3593">
        <w:t xml:space="preserve">, and 2) conduct field-based comparative studies </w:t>
      </w:r>
      <w:r w:rsidR="00225E3E" w:rsidRPr="004B3593">
        <w:t>and sample collection</w:t>
      </w:r>
      <w:r w:rsidR="00602831" w:rsidRPr="004B3593">
        <w:t xml:space="preserve"> </w:t>
      </w:r>
      <w:r w:rsidRPr="004B3593">
        <w:t xml:space="preserve">addressing effects of </w:t>
      </w:r>
      <w:r w:rsidR="00602831" w:rsidRPr="004B3593">
        <w:t>stressor</w:t>
      </w:r>
      <w:r w:rsidRPr="004B3593">
        <w:t xml:space="preserve"> factors </w:t>
      </w:r>
      <w:r w:rsidR="00602831" w:rsidRPr="004B3593">
        <w:t>associated with co</w:t>
      </w:r>
      <w:r w:rsidR="00E1790C" w:rsidRPr="004B3593">
        <w:t xml:space="preserve">tton production </w:t>
      </w:r>
      <w:r w:rsidRPr="004B3593">
        <w:t xml:space="preserve">and </w:t>
      </w:r>
      <w:r w:rsidR="00E1790C" w:rsidRPr="004B3593">
        <w:t xml:space="preserve">avian </w:t>
      </w:r>
      <w:r w:rsidRPr="004B3593">
        <w:t>microbiome composition.</w:t>
      </w:r>
    </w:p>
    <w:p w14:paraId="1A88A680" w14:textId="77777777" w:rsidR="008C51C7" w:rsidRPr="004B3593" w:rsidRDefault="008C51C7" w:rsidP="00C06BE0">
      <w:pPr>
        <w:pStyle w:val="NormalWeb"/>
        <w:tabs>
          <w:tab w:val="left" w:pos="9360"/>
        </w:tabs>
        <w:spacing w:before="0" w:beforeAutospacing="0" w:after="0" w:afterAutospacing="0"/>
      </w:pPr>
    </w:p>
    <w:p w14:paraId="37EF8174" w14:textId="65393C79" w:rsidR="00CD2C6C" w:rsidRPr="004B3593" w:rsidRDefault="00CD2C6C" w:rsidP="00C06BE0">
      <w:pPr>
        <w:pStyle w:val="NormalWeb"/>
        <w:tabs>
          <w:tab w:val="left" w:pos="9360"/>
        </w:tabs>
        <w:spacing w:before="0" w:beforeAutospacing="0" w:after="0" w:afterAutospacing="0"/>
        <w:rPr>
          <w:b/>
          <w:color w:val="00000A"/>
        </w:rPr>
      </w:pPr>
      <w:r w:rsidRPr="004B3593">
        <w:rPr>
          <w:b/>
        </w:rPr>
        <w:t>Background</w:t>
      </w:r>
    </w:p>
    <w:p w14:paraId="1838B5C5" w14:textId="577D36F5" w:rsidR="003042BD" w:rsidRPr="004B3593" w:rsidRDefault="003042BD" w:rsidP="003042BD">
      <w:pPr>
        <w:rPr>
          <w:rFonts w:ascii="Times New Roman" w:hAnsi="Times New Roman" w:cs="Times New Roman"/>
          <w:sz w:val="24"/>
          <w:szCs w:val="24"/>
        </w:rPr>
      </w:pPr>
      <w:r w:rsidRPr="004B3593">
        <w:rPr>
          <w:rFonts w:ascii="Times New Roman" w:hAnsi="Times New Roman" w:cs="Times New Roman"/>
          <w:sz w:val="24"/>
          <w:szCs w:val="24"/>
        </w:rPr>
        <w:t xml:space="preserve">Agrochemical pollution associated with modern crop production poses the most profound and immediate threat to biodiversity, surpassing that of the global climate change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{"citationID":"Z71Ebv1l","properties":{"formattedCitation":"(Dudley &amp; Alexander, 2017; Maxwell et al., 2016)","plainCitation":"(Dudley &amp; Alexander, 2017; Maxwell et al., 2016)","noteIndex":0},"citationItems":[{"id":519,"uris":["http://zotero.org/users/local/ZC0j6oLC/items/UBWXNX8P",["http://zotero.org/users/local/ZC0j6oLC/items/UBWXNX8P"],"http://zotero.org/users/11069743/items/UBWXNX8P"],"itemData":{"id":519,"type":"article-journal","abstract":"The threats of old are still the dominant drivers of current species loss, indicates an analysis of IUCN Red List data by Sean Maxwell and colleagues.","container-title":"Nature News","DOI":"10.1038/536143a","issue":"7615","language":"en","page":"143","source":"www.nature.com","title":"Biodiversity: The ravages of guns, nets and bulldozers","title-short":"Biodiversity","volume":"536","author":[{"family":"Maxwell","given":"Sean L."},{"family":"Fuller","given":"Richard A."},{"family":"Brooks","given":"Thomas M."},{"family":"Watson","given":"James E. M."}],"issued":{"date-parts":[["2016",8,11]]}}},{"id":518,"uris":["http://zotero.org/users/local/ZC0j6oLC/items/TVLP8ZIS",["http://zotero.org/users/local/ZC0j6oLC/items/TVLP8ZIS"],"http://zotero.org/users/11069743/items/TVLP8ZIS"],"itemData":{"id":518,"type":"article-journal","abstract":"Agriculture is the largest contributor to biodiversity loss with expanding impacts due to changing consumption patterns and growing populations. Agriculture destroys biodiversity by converting natural habitats to intensely managed systems and by releasing pollutants, including greenhouses gases. Food value chains further amplify impacts including through energy use, transport and waste. Reducing the food system’s toll on biodiversity is a critical challenge. The ‘sparing or sharing’ debate contrasts two response pathways: intensifying agriculture to release other land for protection versus biodiversity-friendly farming over larger areas. Most conservation policies focus on intensification and set-aside but recent research challenges these assumptions. The Global Land Outlook of the UN Convention to Combat Desertification highlights how modern farming is undermining the sustainability of large land areas. Intensification has not solved the biodiversity crisis and has often made it worse. Effective responses must involve both producers and consumers, and require a mixture of conservation, sustainable management and restoration. Agricultural land serves many purposes beyond food production and mechanisms are needed to pay farmers for wider stewardship of land resources. A multifunctional landscape approach balances different needs at a landscape scale while incorporating site-level specificity on land use, demand, and condition. At the same time, consumers play a critical role in reducing unsustainable food waste. Many of the techniques and strategies for biodiversity-friendly farming systems exist; the challenge is to bring them to scale.","container-title":"Biodiversity","DOI":"10.1080/14888386.2017.1351892","ISSN":"1488-8386","issue":"2-3","page":"45-49","source":"Taylor and Francis+NEJM","title":"Agriculture and biodiversity: a review","title-short":"Agriculture and biodiversity","volume":"18","author":[{"family":"Dudley","given":"Nigel"},{"family":"Alexander","given":"Sasha"}],"issued":{"date-parts":[["2017",7,3]]}}}],"schema":"https://github.com/citation-style-language/schema/raw/master/csl-citation.json"}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(Dudley &amp; Alexander, 2017; Maxwell et al., 2016)</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Recent studies demonstrated that since the 1960s, 74% of farmland birds steadily and significantly declined in the USA and Canada despite  decreased area of cultivated lands since the 1990</w:t>
      </w:r>
      <w:r w:rsidR="00B91D5D" w:rsidRPr="004B3593">
        <w:rPr>
          <w:rFonts w:ascii="Times New Roman" w:hAnsi="Times New Roman" w:cs="Times New Roman"/>
          <w:sz w:val="24"/>
          <w:szCs w:val="24"/>
        </w:rPr>
        <w:t>s</w:t>
      </w:r>
      <w:r w:rsidRPr="004B3593">
        <w:rPr>
          <w:rFonts w:ascii="Times New Roman" w:hAnsi="Times New Roman" w:cs="Times New Roman"/>
          <w:sz w:val="24"/>
          <w:szCs w:val="24"/>
        </w:rPr>
        <w:t xml:space="preserve">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{"citationID":"HQg1sYWF","properties":{"formattedCitation":"(Green et al., 2005; Stanton et al., 2018)","plainCitation":"(Green et al., 2005; Stanton et al., 2018)","noteIndex":0},"citationItems":[{"id":412,"uris":["http://zotero.org/users/local/ZC0j6oLC/items/L6U9HX45",["http://zotero.org/users/local/ZC0j6oLC/items/L6U9HX45"],"http://zotero.org/users/11069743/items/L6U9HX45"],"itemData":{"id":412,"type":"article-journal","abstract":"World food demand is expected to more than double by 2050. Decisions about how to meet this challenge will have profound effects on wild species and habitats. We show that farming is already the greatest extinction threat to birds (the best known taxon), and its adverse impacts look set to increase, especially in developing countries. Two competing solutions have been proposed: wildlife-friendly farming (which boosts densities of wild populations on farmland but may decrease agricultural yields) and land sparing (which minimizes demand for farmland by increasing yield). We present a model that identifies how to resolve the trade-off between these approaches. This shows that the best type of farming for species persistence depends on the demand for agricultural products and on how the population densities of different species on farmland change with agricultural yield. Empirical data on such density-yield functions are sparse, but evidence from a range of taxa in developing countries suggests that high-yield farming may allow more species to persist.\nA model determines the consequences for wildlife of the trade-off between yield intensity of land under cultivation and amount of land under cultivation.\nA model determines the consequences for wildlife of the trade-off between yield intensity of land under cultivation and amount of land under cultivation.","container-title":"Science","DOI":"10.1126/science.1106049","ISSN":"0036-8075, 1095-9203","issue":"5709","language":"en","license":"American Association for the Advancement of Science","note":"PMID: 15618485","page":"550-555","source":"science.sciencemag.org","title":"Farming and the fate of wild nature","volume":"307","author":[{"family":"Green","given":"Rhys E."},{"family":"Cornell","given":"Stephen J."},{"family":"Scharlemann","given":"Jörn P. W."},{"family":"Balmford","given":"Andrew"}],"issued":{"date-parts":[["2005",1,28]]}}},{"id":512,"uris":["http://zotero.org/users/local/ZC0j6oLC/items/WMRGJEKH",["http://zotero.org/users/local/ZC0j6oLC/items/WMRGJEKH"],"http://zotero.org/users/11069743/items/WMRGJEKH"],"itemData":{"id":512,"type":"article-journal","abstract":"Globally, agriculture has intensified during the past 50 years due to increased mechanization, changes in the timing of farming operations, grassland conversion to cropland, and increased agrochemical inputs. Birds associated with farmlands and grasslands in North America have experienced severe declines over the last several decades, prompting the need for a comprehensive review of the drivers, mechanisms and magnitude of effects on bird populations. Here we evaluated changes in North American farmland bird populations over time and conducted a systematic review and analysis of the published literature to identify the major causes. Based on North American Breeding Bird Survey data, populations of 57 of 77 (74%) farmland-associated species decreased from 1966 to 2013. Multiple species exhibited highly congruent declines during the 1960s-1980s − a period with rapid changes in farming practices to low tillage systems, heavy pesticide use and widespread conversion of grassland habitat to cropland. The most severe declines occurred in aerial insectivorous birds (average change of −39.5% from 1966 to 2013), followed by grassland (‐20.8%) and shrubland (‐16.5%) bird species. Direct agricultural drivers impacting bird abundance, survival, and reproduction include loss of natural habitats, interference from farming equipment, and direct mortality or sublethal effects from pesticide exposure. Subtle interference with behaviour or physiology are reported through indirect drivers such as reduced food supplies, sublethal pesticide toxicity, habitat fragmentation and alteration, and disturbance. Indirect effects are likely significant for many species, particularly aerial insectivores, but detailed mechanistic studies are lacking. Our review of 122 studies found that pesticides (42% of all studies), followed by habitat loss or alterations (27%), were most predominant in negatively affecting farmland birds, with pesticides (93% negative) and mowing/harvesting (81% negative) having the most consistently negative effects. Modifications to farmland management such as reducing pesticide inputs through integrated pest management and maintaining or restoring uncultivated field margins and native habitat could positively influence farmland birds without significantly reducing agricultural crop yields.","container-title":"Agriculture, Ecosystems &amp; Environment","DOI":"10.1016/j.agee.2017.11.028","ISSN":"0167-8809","journalAbbreviation":"Agriculture, Ecosystems &amp; Environment","page":"244-254","source":"ScienceDirect","title":"Analysis of trends and agricultural drivers of farmland bird declines in North America: A review","title-short":"Analysis of trends and agricultural drivers of farmland bird declines in North America","volume":"254","author":[{"family":"Stanton","given":"R. L."},{"family":"Morrissey","given":"C. A."},{"family":"Clark","given":"R. G."}],"issued":{"date-parts":[["2018",2,15]]}}}],"schema":"https://github.com/citation-style-language/schema/raw/master/csl-citation.json"}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(Green et al., 2005; Stanton et al., 2018)</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Furthermore, grassland birds suffered far greater decline since 1970 than birds in other North American biomes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{"citationID":"ookv1whO","properties":{"formattedCitation":"(K. V. Rosenberg et al., 2019)","plainCitation":"(K. V. Rosenberg et al., 2019)","noteIndex":0},"citationItems":[{"id":457,"uris":["http://zotero.org/users/local/ZC0j6oLC/items/MGVYBPAA",["http://zotero.org/users/local/ZC0j6oLC/items/MGVYBPAA"],"http://zotero.org/users/11069743/items/MGVYBPAA"],"itemData":{"id":457,"type":"article-journal","abstract":"Staggering decline of bird populations\nBecause birds are conspicuous and easy to identify and count, reliable records of their occurrence have been gathered over many decades in many parts of the world. Drawing on such data for North America, Rosenberg et al. report wide-spread population declines of birds over the past half-century, resulting in the cumulative loss of billions of breeding individuals across a wide range of species and habitats. They show that declines are not restricted to rare and threatened species—those once considered common and wide-spread are also diminished. These results have major implications for ecosystem integrity, the conservation of wildlife more broadly, and policies associated with the protection of birds and native ecosystems on which they depend.\nScience, this issue p. 120\nSpecies extinctions have defined the global biodiversity crisis, but extinction begins with loss in abundance of individuals that can result in compositional and functional changes of ecosystems. Using multiple and independent monitoring networks, we report population losses across much of the North American avifauna over 48 years, including once-common species and from most biomes. Integration of range-wide population trajectories and size estimates indicates a net loss approaching 3 billion birds, or 29% of 1970 abundance. A continent-wide weather radar network also reveals a similarly steep decline in biomass passage of migrating birds over a recent 10-year period. This loss of bird abundance signals an urgent need to address threats to avert future avifaunal collapse and associated loss of ecosystem integrity, function, and services.\nThe cumulative loss of nearly 3 billion birds since 1970 across North American biomes signals a continuing avifaunal crisis.\nThe cumulative loss of nearly 3 billion birds since 1970 across North American biomes signals a continuing avifaunal crisis.","container-title":"Science","DOI":"10.1126/science.aaw1313","ISSN":"0036-8075, 1095-9203","issue":"6461","language":"en","license":"Copyright © 2019 The Authors, some rights reserved; exclusive licensee American Association for the Advancement of Science. No claim to original U.S. Government Works. http://www.sciencemag.org/about/science-licenses-journal-article-reuseThis is an article distributed under the terms of the Science Journals Default License.","note":"PMID: 31604313","page":"120-124","source":"science.sciencemag.org","title":"Decline of the North American avifauna","volume":"366","author":[{"family":"Rosenberg","given":"Kenneth V."},{"family":"Dokter","given":"Adriaan M."},{"family":"Blancher","given":"Peter J."},{"family":"Sauer","given":"John R."},{"family":"Smith","given":"Adam C."},{"family":"Smith","given":"Paul A."},{"family":"Stanton","given":"Jessica C."},{"family":"Panjabi","given":"Arvind"},{"family":"Helft","given":"Laura"},{"family":"Parr","given":"Michael"},{"family":"Marra","given":"Peter P."}],"issued":{"date-parts":[["2019",10,4]]}}}],"schema":"https://github.com/citation-style-language/schema/raw/master/csl-citation.json"}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(K. V. Rosenberg et al., 2019)</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Pesticides used in crop production appear to be the most common cause of decline in North American farmland birds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{"citationID":"FoqUbUUY","properties":{"formattedCitation":"(Stanton et al., 2018)","plainCitation":"(Stanton et al., 2018)","noteIndex":0},"citationItems":[{"id":512,"uris":["http://zotero.org/users/local/ZC0j6oLC/items/WMRGJEKH",["http://zotero.org/users/local/ZC0j6oLC/items/WMRGJEKH"],"http://zotero.org/users/11069743/items/WMRGJEKH"],"itemData":{"id":512,"type":"article-journal","abstract":"Globally, agriculture has intensified during the past 50 years due to increased mechanization, changes in the timing of farming operations, grassland conversion to cropland, and increased agrochemical inputs. Birds associated with farmlands and grasslands in North America have experienced severe declines over the last several decades, prompting the need for a comprehensive review of the drivers, mechanisms and magnitude of effects on bird populations. Here we evaluated changes in North American farmland bird populations over time and conducted a systematic review and analysis of the published literature to identify the major causes. Based on North American Breeding Bird Survey data, populations of 57 of 77 (74%) farmland-associated species decreased from 1966 to 2013. Multiple species exhibited highly congruent declines during the 1960s-1980s − a period with rapid changes in farming practices to low tillage systems, heavy pesticide use and widespread conversion of grassland habitat to cropland. The most severe declines occurred in aerial insectivorous birds (average change of −39.5% from 1966 to 2013), followed by grassland (‐20.8%) and shrubland (‐16.5%) bird species. Direct agricultural drivers impacting bird abundance, survival, and reproduction include loss of natural habitats, interference from farming equipment, and direct mortality or sublethal effects from pesticide exposure. Subtle interference with behaviour or physiology are reported through indirect drivers such as reduced food supplies, sublethal pesticide toxicity, habitat fragmentation and alteration, and disturbance. Indirect effects are likely significant for many species, particularly aerial insectivores, but detailed mechanistic studies are lacking. Our review of 122 studies found that pesticides (42% of all studies), followed by habitat loss or alterations (27%), were most predominant in negatively affecting farmland birds, with pesticides (93% negative) and mowing/harvesting (81% negative) having the most consistently negative effects. Modifications to farmland management such as reducing pesticide inputs through integrated pest management and maintaining or restoring uncultivated field margins and native habitat could positively influence farmland birds without significantly reducing agricultural crop yields.","container-title":"Agriculture, Ecosystems &amp; Environment","DOI":"10.1016/j.agee.2017.11.028","ISSN":"0167-8809","journalAbbreviation":"Agriculture, Ecosystems &amp; Environment","page":"244-254","source":"ScienceDirect","title":"Analysis of trends and agricultural drivers of farmland bird declines in North America: A review","title-short":"Analysis of trends and agricultural drivers of farmland bird declines in North America","volume":"254","author":[{"family":"Stanton","given":"R. L."},{"family":"Morrissey","given":"C. A."},{"family":"Clark","given":"R. G."}],"issued":{"date-parts":[["2018",2,15]]}}}],"schema":"https://github.com/citation-style-language/schema/raw/master/csl-citation.json"}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(Stanton et al., 2018)</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w:t>
      </w:r>
    </w:p>
    <w:p w14:paraId="2E69427C" w14:textId="64ABF7D1" w:rsidR="003042BD" w:rsidRPr="004B3593" w:rsidRDefault="003042BD" w:rsidP="003042BD">
      <w:pPr>
        <w:rPr>
          <w:rFonts w:ascii="Times New Roman" w:hAnsi="Times New Roman" w:cs="Times New Roman"/>
          <w:sz w:val="24"/>
          <w:szCs w:val="24"/>
        </w:rPr>
      </w:pPr>
      <w:r w:rsidRPr="004B3593">
        <w:rPr>
          <w:rFonts w:ascii="Times New Roman" w:hAnsi="Times New Roman" w:cs="Times New Roman"/>
          <w:sz w:val="24"/>
          <w:szCs w:val="24"/>
        </w:rPr>
        <w:t xml:space="preserve">Wildlife mortality events caused by exposure of non-target animals to lethal doses of pesticides are infrequent and accidental.  Sublethal exposure to pesticides, however, is commonplace and have been linked to chronic fitness consequences and population declines over time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{"citationID":"nB48c2iv","properties":{"formattedCitation":"(Gibbons et al., 2015; Halsch et al., 2020; van der Sluijs et al., 2015)","plainCitation":"(Gibbons et al., 2015; Halsch et al., 2020; van der Sluijs et al., 2015)","noteIndex":0},"citationItems":[{"id":511,"uris":["http://zotero.org/users/local/ZC0j6oLC/items/K47Y63KM",["http://zotero.org/users/local/ZC0j6oLC/items/K47Y63KM"],"http://zotero.org/users/11069743/items/K47Y63KM"],"itemData":{"id":511,"type":"article-journal","abstract":"Concerns over the role of pesticides affecting vertebrate wildlife populations have recently focussed on systemic products which exert broad-spectrum toxicity. Given that the neonicotinoids have become the fastest-growing class of insecticides globally, we review here 150 studies of their direct (toxic) and indirect (e.g. food chain) effects on vertebrate wildlife—mammals, birds, fish, amphibians and reptiles. We focus on two neonicotinoids, imidacloprid and clothianidin, and a third insecticide, fipronil, which also acts in the same systemic manner. Imidacloprid and fipronil were found to be toxic to many birds and most fish, respectively. All three insecticides exert sub-lethal effects, ranging from genotoxic and cytotoxic effects, and impaired immune function, to reduced growth and reproductive success, often at concentrations well below those associated with mortality. Use of imidacloprid and clothianidin as seed treatments on some crops poses risks to small birds, and ingestion of even a few treated seeds could cause mortality or reproductive impairment to sensitive bird species. In contrast, environmental concentrations of imidacloprid and clothianidin appear to be at levels below those which will cause mortality to freshwater vertebrates, although sub-lethal effects may occur. Some recorded environmental concentrations of fipronil, however, may be sufficiently high to harm fish. Indirect effects are rarely considered in risk assessment processes and there is a paucity of data, despite the potential to exert population-level effects. Our research revealed two field case studies of indirect effects. In one, reductions in invertebrate prey from both imidacloprid and fipronil uses led to impaired growth in a fish species, and in another, reductions in populations in two lizard species were linked to effects of fipronil on termite prey. Evidence presented here suggests that the systemic insecticides, neonicotinoids and fipronil, are capable of exerting direct and indirect effects on terrestrial and aquatic vertebrate wildlife, thus warranting further review of their environmental safety.","container-title":"Environmental Science and Pollution Research","DOI":"10.1007/s11356-014-3180-5","ISSN":"1614-7499","issue":"1","journalAbbreviation":"Environ Sci Pollut Res","language":"en","page":"103-118","source":"Springer Link","title":"A review of the direct and indirect effects of neonicotinoids and fipronil on vertebrate wildlife","volume":"22","author":[{"family":"Gibbons","given":"David"},{"family":"Morrissey","given":"Christy"},{"family":"Mineau","given":"Pierre"}],"issued":{"date-parts":[["2015",1,1]]}}},{"id":402,"uris":["http://zotero.org/users/local/ZC0j6oLC/items/KJRTJ5WA",["http://zotero.org/users/local/ZC0j6oLC/items/KJRTJ5WA"],"http://zotero.org/users/11069743/items/KJRTJ5WA"],"itemData":{"id":402,"type":"article-journal","container-title":"Environmental Science and Pollution Research","DOI":"10.1007/s11356-014-3229-5","ISSN":"1614-7499","issue":"1","journalAbbreviation":"Environ Sci Pollut Res","language":"en","page":"148-154","source":"Springer Link","title":"Conclusions of the worldwide integrated assessment on the risks of neonicotinoids and fipronil to biodiversity and ecosystem functioning","volume":"22","author":[{"family":"Sluijs","given":"J. P.","non-dropping-particle":"van der"},{"family":"Amaral-Rogers","given":"V."},{"family":"Belzunces","given":"L. P."},{"family":"Bijleveld van Lexmond","given":"M. F. I. J."},{"family":"Bonmatin","given":"J-M."},{"family":"Chagnon","given":"M."},{"family":"Downs","given":"C. A."},{"family":"Furlan","given":"L."},{"family":"Gibbons","given":"D. W."},{"family":"Giorio","given":"C."},{"family":"Girolami","given":"V."},{"family":"Goulson","given":"D."},{"family":"Kreutzweiser","given":"D. P."},{"family":"Krupke","given":"C."},{"family":"Liess","given":"M."},{"family":"Long","given":"E."},{"family":"McField","given":"M."},{"family":"Mineau","given":"P."},{"family":"Mitchell","given":"E. A. D."},{"family":"Morrissey","given":"C. A."},{"family":"Noome","given":"D. A."},{"family":"Pisa","given":"L."},{"family":"Settele","given":"J."},{"family":"Simon-Delso","given":"N."},{"family":"Stark","given":"J. D."},{"family":"Tapparo","given":"A."},{"family":"Van Dyck","given":"H."},{"family":"Praagh","given":"J.","non-dropping-particle":"van"},{"family":"Whitehorn","given":"P. R."},{"family":"Wiemers","given":"M."}],"issued":{"date-parts":[["2015",1,1]]}}},{"id":"KeHCESEx/dTk5mQeh","uris":["http://zotero.org/users/local/qWen7kqe/items/T2SHYSNF",["http://zotero.org/users/local/qWen7kqe/items/T2SHYSNF"]],"itemData":{"id":3608,"type":"article-journal","abstract":"Monarch butterflies (Danaus plexippus) are in decline in the western United States and are encountering a range of anthropogenic stressors. Pesticides are among the factors that likely contribute to this decline, though the concentrations of these chemicals in non-crop plants is not well documented, especially in complex landscapes with a diversity of crop types and land uses. In this study, we collected 227 milkweed (Asclepias spp.) leaf samples from 19 sites representing different land use types across the Central Valley of California. We also sampled plants purchased from two stores that sell to home gardeners. We found 64 pesticides (25 insecticides, 27 fungicides, and 11 herbicides, as well as 1 adjuvant) out of a possible 262 in our screen. Pesticides were detected in every sample, even at sites with little or no pesticide use based on information from landowners. On average, approximately 9 compounds were detected per plant across all sites, with a range of 1 to 25 compounds in any one sample. For the vast majority of pesticides detected, we do not know the biological effects on monarch caterpillars that consume these plants, however we did detect a few compounds for which effects on monarchs have been experimentally investigated. Chlorantraniliprole in particular was identified in 91% of our samples and found to exceed a tested LD50 for monarchs in 58 out of 227 samples. Our primary conclusion is the ubiquity of pesticide presence in milkweeds in an early-summer window of time that monarch larvae are likely to be present in the area. Thus, these results are consistent with the hypothesis that pesticide exposure could be a contributing factor to monarch declines in the western United States. This both highlights the need for a greater understanding of the lethal and sublethal effects of these compounds (individually, additively, and synergistically) and suggests the urgent need for strategies that reduce pesticide use and movement on the landscape.","container-title":"Frontiers in Ecology and Evolution","DOI":"10.3389/fevo.2020.00162","ISSN":"2296-701X","journalAbbreviation":"Front. Ecol. Evol.","language":"English","note":"publisher: Frontiers","source":"Frontiers","title":"Pesticide Contamination of Milkweeds Across the Agricultural, Urban, and Open Spaces of Low-Elevation Northern California","URL":"https://www.frontiersin.org/articles/10.3389/fevo.2020.00162/full","volume":"8","author":[{"family":"Halsch","given":"Christopher A."},{"family":"Code","given":"Aimee"},{"family":"Hoyle","given":"Sarah M."},{"family":"Fordyce","given":"James A."},{"family":"Baert","given":"Nicolas"},{"family":"Forister","given":"Matthew L."}],"accessed":{"date-parts":[["2020",6,10]]},"issued":{"date-parts":[["2020"]]}}}],"schema":"https://github.com/citation-style-language/schema/raw/master/csl-citation.json"}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(Gibbons et al., 2015; Halsch et al., 2020; van der Sluijs et al., 2015)</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Pesticides deplete abundance and reduce diversity of vertebrate food resources by killing terrestrial and aquatic invertebrates and plants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{"citationID":"qY0VYuzY","properties":{"formattedCitation":"(van der Sluijs et al., 2015)","plainCitation":"(van der Sluijs et al., 2015)","noteIndex":0},"citationItems":[{"id":402,"uris":["http://zotero.org/users/local/ZC0j6oLC/items/KJRTJ5WA",["http://zotero.org/users/local/ZC0j6oLC/items/KJRTJ5WA"],"http://zotero.org/users/11069743/items/KJRTJ5WA"],"itemData":{"id":402,"type":"article-journal","container-title":"Environmental Science and Pollution Research","DOI":"10.1007/s11356-014-3229-5","ISSN":"1614-7499","issue":"1","journalAbbreviation":"Environ Sci Pollut Res","language":"en","page":"148-154","source":"Springer Link","title":"Conclusions of the worldwide integrated assessment on the risks of neonicotinoids and fipronil to biodiversity and ecosystem functioning","volume":"22","author":[{"family":"Sluijs","given":"J. P.","non-dropping-particle":"van der"},{"family":"Amaral-Rogers","given":"V."},{"family":"Belzunces","given":"L. P."},{"family":"Bijleveld van Lexmond","given":"M. F. I. J."},{"family":"Bonmatin","given":"J-M."},{"family":"Chagnon","given":"M."},{"family":"Downs","given":"C. A."},{"family":"Furlan","given":"L."},{"family":"Gibbons","given":"D. W."},{"family":"Giorio","given":"C."},{"family":"Girolami","given":"V."},{"family":"Goulson","given":"D."},{"family":"Kreutzweiser","given":"D. P."},{"family":"Krupke","given":"C."},{"family":"Liess","given":"M."},{"family":"Long","given":"E."},{"family":"McField","given":"M."},{"family":"Mineau","given":"P."},{"family":"Mitchell","given":"E. A. D."},{"family":"Morrissey","given":"C. A."},{"family":"Noome","given":"D. A."},{"family":"Pisa","given":"L."},{"family":"Settele","given":"J."},{"family":"Simon-Delso","given":"N."},{"family":"Stark","given":"J. D."},{"family":"Tapparo","given":"A."},{"family":"Van Dyck","given":"H."},{"family":"Praagh","given":"J.","non-dropping-particle":"van"},{"family":"Whitehorn","given":"P. R."},{"family":"Wiemers","given":"M."}],"issued":{"date-parts":[["2015",1,1]]}}}],"schema":"https://github.com/citation-style-language/schema/raw/master/csl-citation.json"}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(van der Sluijs et al., 2015)</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Furthermore, sublethal doses of pesticides and shortage of resources adversely affect animal growth, development, survival, and reproduction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{"citationID":"CHoLNh4C","properties":{"formattedCitation":"(Gibbons et al., 2015)","plainCitation":"(Gibbons et al., 2015)","noteIndex":0},"citationItems":[{"id":511,"uris":["http://zotero.org/users/local/ZC0j6oLC/items/K47Y63KM",["http://zotero.org/users/local/ZC0j6oLC/items/K47Y63KM"],"http://zotero.org/users/11069743/items/K47Y63KM"],"itemData":{"id":511,"type":"article-journal","abstract":"Concerns over the role of pesticides affecting vertebrate wildlife populations have recently focussed on systemic products which exert broad-spectrum toxicity. Given that the neonicotinoids have become the fastest-growing class of insecticides globally, we review here 150 studies of their direct (toxic) and indirect (e.g. food chain) effects on vertebrate wildlife—mammals, birds, fish, amphibians and reptiles. We focus on two neonicotinoids, imidacloprid and clothianidin, and a third insecticide, fipronil, which also acts in the same systemic manner. Imidacloprid and fipronil were found to be toxic to many birds and most fish, respectively. All three insecticides exert sub-lethal effects, ranging from genotoxic and cytotoxic effects, and impaired immune function, to reduced growth and reproductive success, often at concentrations well below those associated with mortality. Use of imidacloprid and clothianidin as seed treatments on some crops poses risks to small birds, and ingestion of even a few treated seeds could cause mortality or reproductive impairment to sensitive bird species. In contrast, environmental concentrations of imidacloprid and clothianidin appear to be at levels below those which will cause mortality to freshwater vertebrates, although sub-lethal effects may occur. Some recorded environmental concentrations of fipronil, however, may be sufficiently high to harm fish. Indirect effects are rarely considered in risk assessment processes and there is a paucity of data, despite the potential to exert population-level effects. Our research revealed two field case studies of indirect effects. In one, reductions in invertebrate prey from both imidacloprid and fipronil uses led to impaired growth in a fish species, and in another, reductions in populations in two lizard species were linked to effects of fipronil on termite prey. Evidence presented here suggests that the systemic insecticides, neonicotinoids and fipronil, are capable of exerting direct and indirect effects on terrestrial and aquatic vertebrate wildlife, thus warranting further review of their environmental safety.","container-title":"Environmental Science and Pollution Research","DOI":"10.1007/s11356-014-3180-5","ISSN":"1614-7499","issue":"1","journalAbbreviation":"Environ Sci Pollut Res","language":"en","page":"103-118","source":"Springer Link","title":"A review of the direct and indirect effects of neonicotinoids and fipronil on vertebrate wildlife","volume":"22","author":[{"family":"Gibbons","given":"David"},{"family":"Morrissey","given":"Christy"},{"family":"Mineau","given":"Pierre"}],"issued":{"date-parts":[["2015",1,1]]}}}],"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(Gibbons et al., 2015)</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Pesticides also suppress wildlife immune system enabling emergence and spread of infectious diseases with unusually high mortality rates, which may be a leading cause of continuing global wildlife declines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{"citationID":"F7WzXvFj","properties":{"formattedCitation":"(Mason et al., 2013)","plainCitation":"(Mason et al., 2013)","noteIndex":0},"citationItems":[{"id":488,"uris":["http://zotero.org/users/local/ZC0j6oLC/items/8CA4K7G6",["http://zotero.org/users/local/ZC0j6oLC/items/8CA4K7G6"],"http://zotero.org/users/11069743/items/8CA4K7G6"],"itemData":{"id":488,"type":"article-journal","abstract":"Outbreaks of infectious diseases in honey bees, fish, amphibians, bats and birds in the past two decades have coincided with the increasing use of systemic insecticides, notably the neonicotinoids and fipronil. A link between insecticides and such diseases is hypothesised. Firstly, the disease outbreaks started in countries and regions where systemic insecticides were used for the first time, and later they spread to other countries. Secondly, recent evidence of immune suppression in bees and fish caused by neonicotinoids has provided an important clue to understand the sub-lethal impact of these insecticides not only on these organisms, but probably on other wildlife affected by emerging infectious diseases. While this is occurring, environmental authorities in developed countries ignore the calls of apiarists (who are most affected) and do not target neonicotinoids in their regular monitoring schedules. Equally, scientists looking for answers to the problem are unaware of the new threat that systemic insecticides have introduced in terrestrial and aquatic ecosystems.","container-title":"Journal of Enviromental Immunology and Toxicology","DOI":"10.7178/jeit.1","ISSN":"2225-1219","issue":"1","journalAbbreviation":"J Environ Immunol Toxicol","language":"en","page":"3","source":"DOI.org (Crossref)","title":"Immune suppression by neonicotinoid insecticides at the root of global wildlife declines","volume":"1","author":[{"family":"Mason","given":"Rosemary"},{"family":"Tennekes","given":"Henk"},{"family":"Sánchez-Bayo","given":"Francisco"},{"family":"Jepsen","given":"Palle Uhd"}],"issued":{"date-parts":[["2013"]]}}}],"schema":"https://github.com/citation-style-language/schema/raw/master/csl-citation.json"}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(Mason et al., 2013)</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w:t>
      </w:r>
    </w:p>
    <w:p w14:paraId="04290F2F" w14:textId="77777777" w:rsidR="004B3593" w:rsidRDefault="003042BD" w:rsidP="003042BD">
      <w:pPr>
        <w:rPr>
          <w:rFonts w:ascii="Times New Roman" w:hAnsi="Times New Roman" w:cs="Times New Roman"/>
          <w:sz w:val="24"/>
          <w:szCs w:val="24"/>
        </w:rPr>
      </w:pPr>
      <w:r w:rsidRPr="004B3593">
        <w:rPr>
          <w:rFonts w:ascii="Times New Roman" w:hAnsi="Times New Roman" w:cs="Times New Roman"/>
          <w:sz w:val="24"/>
          <w:szCs w:val="24"/>
        </w:rPr>
        <w:t xml:space="preserve">A recent review of studies that attempted to address sublethal effects of modern insecticides (neonicotinoids and fipronil) on vertebrates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{"citationID":"CBbjfbmG","properties":{"formattedCitation":"(Gibbons et al., 2015)","plainCitation":"(Gibbons et al., 2015)","noteIndex":0},"citationItems":[{"id":511,"uris":["http://zotero.org/users/local/ZC0j6oLC/items/K47Y63KM",["http://zotero.org/users/local/ZC0j6oLC/items/K47Y63KM"],"http://zotero.org/users/11069743/items/K47Y63KM"],"itemData":{"id":511,"type":"article-journal","abstract":"Concerns over the role of pesticides affecting vertebrate wildlife populations have recently focussed on systemic products which exert broad-spectrum toxicity. Given that the neonicotinoids have become the fastest-growing class of insecticides globally, we review here 150 studies of their direct (toxic) and indirect (e.g. food chain) effects on vertebrate wildlife—mammals, birds, fish, amphibians and reptiles. We focus on two neonicotinoids, imidacloprid and clothianidin, and a third insecticide, fipronil, which also acts in the same systemic manner. Imidacloprid and fipronil were found to be toxic to many birds and most fish, respectively. All three insecticides exert sub-lethal effects, ranging from genotoxic and cytotoxic effects, and impaired immune function, to reduced growth and reproductive success, often at concentrations well below those associated with mortality. Use of imidacloprid and clothianidin as seed treatments on some crops poses risks to small birds, and ingestion of even a few treated seeds could cause mortality or reproductive impairment to sensitive bird species. In contrast, environmental concentrations of imidacloprid and clothianidin appear to be at levels below those which will cause mortality to freshwater vertebrates, although sub-lethal effects may occur. Some recorded environmental concentrations of fipronil, however, may be sufficiently high to harm fish. Indirect effects are rarely considered in risk assessment processes and there is a paucity of data, despite the potential to exert population-level effects. Our research revealed two field case studies of indirect effects. In one, reductions in invertebrate prey from both imidacloprid and fipronil uses led to impaired growth in a fish species, and in another, reductions in populations in two lizard species were linked to effects of fipronil on termite prey. Evidence presented here suggests that the systemic insecticides, neonicotinoids and fipronil, are capable of exerting direct and indirect effects on terrestrial and aquatic vertebrate wildlife, thus warranting further review of their environmental safety.","container-title":"Environmental Science and Pollution Research","DOI":"10.1007/s11356-014-3180-5","ISSN":"1614-7499","issue":"1","journalAbbreviation":"Environ Sci Pollut Res","language":"en","page":"103-118","source":"Springer Link","title":"A review of the direct and indirect effects of neonicotinoids and fipronil on vertebrate wildlife","volume":"22","author":[{"family":"Gibbons","given":"David"},{"family":"Morrissey","given":"Christy"},{"family":"Mineau","given":"Pierre"}],"issued":{"date-parts":[["2015",1,1]]}}}],"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(Gibbons et al., 2015)</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exposed shortcomings of current research approaches.  Although important for understanding of potential effects of individual pesticides, the utility of studies based on exposure of lab animals to arbitrarily selected levels of single insecticide at a time and not considering environmentally relevant pesticide concentrations or synergistic effects among pesticides or stress induced by food shortage may be limited for understanding drivers of observed wildlife declines.  </w:t>
      </w:r>
    </w:p>
    <w:p w14:paraId="69FCF4D7" w14:textId="6AC434C3" w:rsidR="003042BD" w:rsidRPr="004B3593" w:rsidRDefault="004B3593" w:rsidP="003042BD">
      <w:pPr>
        <w:rPr>
          <w:rFonts w:ascii="Times New Roman" w:hAnsi="Times New Roman" w:cs="Times New Roman"/>
          <w:sz w:val="24"/>
          <w:szCs w:val="24"/>
        </w:rPr>
      </w:pPr>
      <w:r>
        <w:rPr>
          <w:rFonts w:ascii="Times New Roman" w:hAnsi="Times New Roman" w:cs="Times New Roman"/>
          <w:sz w:val="24"/>
          <w:szCs w:val="24"/>
        </w:rPr>
        <w:lastRenderedPageBreak/>
        <w:t>A</w:t>
      </w:r>
      <w:r w:rsidR="003042BD" w:rsidRPr="004B3593">
        <w:rPr>
          <w:rFonts w:ascii="Times New Roman" w:hAnsi="Times New Roman" w:cs="Times New Roman"/>
          <w:sz w:val="24"/>
          <w:szCs w:val="24"/>
        </w:rPr>
        <w:t xml:space="preserve">re not aware of field-based studies addressing effects of the pesticide contamination levels observed in natural habitats on wildlife health.  </w:t>
      </w:r>
    </w:p>
    <w:p w14:paraId="17285362" w14:textId="74E5E45F" w:rsidR="003042BD" w:rsidRPr="004B3593" w:rsidRDefault="003042BD" w:rsidP="003042BD">
      <w:pPr>
        <w:rPr>
          <w:rFonts w:ascii="Times New Roman" w:hAnsi="Times New Roman" w:cs="Times New Roman"/>
          <w:sz w:val="24"/>
          <w:szCs w:val="24"/>
        </w:rPr>
      </w:pPr>
      <w:r w:rsidRPr="004B3593">
        <w:rPr>
          <w:rFonts w:ascii="Times New Roman" w:hAnsi="Times New Roman" w:cs="Times New Roman"/>
          <w:sz w:val="24"/>
          <w:szCs w:val="24"/>
        </w:rPr>
        <w:t xml:space="preserve">Another important area yet to be addressed is the effects of pesticides on wildlife microbiota - the community of prokaryotic and eukaryotic microbes and viruses that live inside and outside of an animal body.  These microbes, the vast majority of which resides in the animal gastrointestinal tract (gut), are intimately involved in their host’s development and physiology.  Microbiota participates in food digestion and detoxification, nitrogen recycling, protecting the host from pathogens and environmental toxins, stimulating the host’s immune system, producing vitamins and hormones, regulating brain function, behavior, and reproduction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{"citationID":"GWD6BYYX","properties":{"formattedCitation":"(Clarke et al., 2014; Heintz-Buschart &amp; Wilmes, 2018; Hird, 2017; Jim\\uc0\\u233{}nez &amp; Sommer, 2017; D. Liang et al., 2018; Mohajeri et al., 2018; E. Rosenberg &amp; Zilber-Rosenberg, 2018)","plainCitation":"(Clarke et al., 2014; Heintz-Buschart &amp; Wilmes, 2018; Hird, 2017; Jiménez &amp; Sommer, 2017; D. Liang et al., 2018; Mohajeri et al., 2018; E. Rosenberg &amp; Zilber-Rosenberg, 2018)","noteIndex":0},"citationItems":[{"id":"KeHCESEx/RAxAWF5O","uris":["http://zotero.org/users/local/ZC0j6oLC/items/HBZM26QK",["http://zotero.org/users/local/ZC0j6oLC/items/HBZM26QK"]],"itemData":{"id":209,"type":"article-journal","title":"Minireview: Gut Microbiota: The Neglected Endocrine Organ","container-title":"Molecular Endocrinology","page":"1221-1238","volume":"28","issue":"8","source":"academic.oup.com","abstract":"The concept that the gut microbiota serves as a virtual endocrine organ arises from a number of important observations. Evidence for a direct role arises from i","DOI":"10.1210/me.2014-1108","ISSN":"0888-8809","title-short":"Minireview","journalAbbreviation":"Mol Endocrinol","language":"en","author":[{"family":"Clarke","given":"Gerard"},{"family":"Stilling","given":"Roman M."},{"family":"Kennedy","given":"Paul J."},{"family":"Stanton","given":"Catherine"},{"family":"Cryan","given":"John F."},{"family":"Dinan","given":"Timothy G."}],"issued":{"date-parts":[["2014",8,1]]}}},{"id":31,"uris":["http://zotero.org/users/local/ZC0j6oLC/items/4A7N2ARW",["http://zotero.org/users/local/ZC0j6oLC/items/4A7N2ARW"],"http://zotero.org/users/11069743/items/4A7N2ARW"],"itemData":{"id":31,"type":"article-journal","abstract":"Recent research in humans, livestock, and wildlife using high-throughput next-generation sequencing (NGS) has identified that resident microbiota play an essential role in disease resistance, host health, and adaptation to biotic and abiotic stressors. Since amphibians are currently facing population declines and extinctions attributable to anthropogenic pressures and emerging diseases, an understanding of the effects of microbiome dysbiosis and mitigation is a prerequisite for amphibian conservation and disease management. Interest is now growing with regard to understanding the influence of unfavorable environmental conditions on the amphibian microbiome and the effects of dysbiosis on the susceptibility to pathogenic infections. Here, we summarize information on the amphibian microbiome, specifically concerning intrinsic and extrinsic factors that shape the skin and gut microbiome. We explore diverse types of unfavorable environmental perturbations and the ways in which they can impact the microbiota of an individual so that we can better comprehend the consequences of stressors and dysbiosis on pathogen emergence and health. We discuss the role of the microbiome in amphibian conservation and identify gaps of knowledge that need to be filled if we are to achieve a meta-organism conservation approach. NGS studies should be complemented with other high-throughput “-omic” approaches to target microbiome functionality. Understanding the microbiome might be the missing piece in the overall strategy that will help maintain the health of amphibians in a world with highly affected environments and that will prevent/mitigate emerging infectious diseases.","container-title":"Biodiversity and Conservation","DOI":"10.1007/s10531-016-1272-x","ISSN":"1572-9710","issue":"4","journalAbbreviation":"Biodivers Conserv","language":"en","page":"763-786","source":"Springer Link","title":"The amphibian microbiome: natural range of variation, pathogenic dysbiosis, and role in conservation","title-short":"The amphibian microbiome","volume":"26","author":[{"family":"Jiménez","given":"Randall R."},{"family":"Sommer","given":"Simone"}],"issued":{"date-parts":[["2017",4,1]]}}},{"id":9,"uris":["http://zotero.org/users/local/ZC0j6oLC/items/SBJM64FB",["http://zotero.org/users/local/ZC0j6oLC/items/SBJM64FB"],"http://zotero.org/users/11069743/items/SBJM64FB"],"itemData":{"id":9,"type":"article-journal","abstract":"The microbiome is a vital component to the evolution of a host and much of what we know about the microbiome derives from studies on humans and captive animals. But captivity alters the microbiome and mammals have unique biological adaptations that affect their microbiomes (e.g., milk). Birds represent over 30% of known tetrapod diversity and possess their own suite of adaptations relevant to the microbiome. In a previous study, we showed that 59 species of birds displayed immense variation in their microbiomes and host (bird) taxonomy and ecology were most correlated with the gut microbiome. In this Frontiers Focused Review, I put those results in a broader context by discussing how collecting and analyzing wild microbiomes contributes to the main goals of evolutionary biology and the specific ways that birds are unique microbial hosts. Finally, I outline some of the methodological considerations for adding microbiome sampling to the research of wild animals and urge researchers to do so. To truly understand the evolution of a host, we need to understand the millions of microorganisms that inhabit it as well: evolutionary biology needs wild microbiomes.","container-title":"Frontiers in Microbiology","DOI":"10.3389/fmicb.2017.00725","ISSN":"1664-302X","journalAbbreviation":"Front Microbiol","note":"PMID: 28487687\nPMCID: PMC5404107","source":"PubMed Central","title":"Evolutionary biology needs wild microbiomes","URL":"https://www.ncbi.nlm.nih.gov/pmc/articles/PMC5404107/","volume":"8","author":[{"family":"Hird","given":"Sarah M."}],"accessed":{"date-parts":[["2019",8,5]]},"issued":{"date-parts":[["2017",4,25]]}}},{"id":96,"uris":["http://zotero.org/users/local/ZC0j6oLC/items/9M8W23AR",["http://zotero.org/users/local/ZC0j6oLC/items/9M8W23AR"],"http://zotero.org/users/11069743/items/9M8W23AR"],"itemData":{"id":96,"type":"article-journal","abstract":"The commensal, symbiotic, and pathogenic microbial community which resides inside our body and on our skin (the human microbiome) can perturb host energy metabolism and immunity, and thus significantly influence development of a variety of human diseases. Therefore, the field has attracted unprecedented attention in the last decade. Although a large amount of data has been generated, there are still many unanswered questions and no universal agreements on how microbiome affects human health have been agreed upon. Consequently, this review was written to provide an updated overview of the rapidly expanding field, with a focus on revealing knowledge gaps and research opportunities. Specifically, the review covered animal physiology, optimal microbiome standard, health intervention by manipulating microbiome, knowledge base building by text mining, microbiota community structure and its implications in human diseases and health monitoring by analyzing microbiome in the blood. The review should enhance interest in conducting novel microbiota investigations that will further improve health and therapy.","container-title":"Gut Pathogens","DOI":"10.1186/s13099-018-0230-4","ISSN":"1757-4749","journalAbbreviation":"Gut Pathog","note":"PMID: 29416567\nPMCID: PMC5785832","source":"PubMed Central","title":"Involvement of gut microbiome in human health and disease: brief overview, knowledge gaps and research opportunities","title-short":"Involvement of gut microbiome in human health and disease","URL":"https://www.ncbi.nlm.nih.gov/pmc/articles/PMC5785832/","volume":"10","author":[{"family":"Liang","given":"Dachao"},{"family":"Leung","given":"Ross Ka-Kit"},{"family":"Guan","given":"Wenda"},{"family":"Au","given":"William W."}],"accessed":{"date-parts":[["2019",8,9]]},"issued":{"date-parts":[["2018",1,25]]}}},{"id":5,"uris":["http://zotero.org/users/local/ZC0j6oLC/items/C8AZFGFT",["http://zotero.org/users/local/ZC0j6oLC/items/C8AZFGFT"],"http://zotero.org/users/11069743/items/C8AZFGFT"],"itemData":{"id":5,"type":"article-journal","abstract":"The holobiont (host with its endocellular and extracellular microbiome) can function as a distinct biological entity, an additional organismal level to the ones previously considered, on which natural selection operates. The holobiont can function as a whole: anatomically, metabolically, immunologically, developmentally, and during evolution. Consideration of the holobiont with its hologenome as an independent level of selection in evolution has led to a better understanding of underappreciated modes of genetic variation and evolution. The hologenome is comprised of two complimentary parts: host and microbiome genomes. Changes in either genome can result in variations that can be selected for or against. The host genome is highly conserved, and genetic changes within it occur slowly, whereas the microbiome genome is dynamic and can change rapidly in response to the environment by increasing or reducing particular microbes, by acquisition of novel microbes, by horizontal gene transfer, and by mutation. Recent experiments showing that microbiota can play an initial role in speciation have been suggested as an additional mode of enhancing evolution. Some of the genetic variations can be transferred to offspring by a variety of mechanisms. Strain-specific DNA analysis has shown that at least some of the microbiota can be maintained across hundreds of thousands of host generations, implying the existence of a microbial core. We argue that rapid changes in the microbiome genome could allow holobionts to adapt and survive under changing environmental conditions thus providing the time necessary for the host genome to adapt and evolve. As Darwin wrote, “It is not the strongest of the species that survives but the most adaptable”.","container-title":"Microbiome","DOI":"10.1186/s40168-018-0457-9","ISSN":"2049-2618","issue":"1","journalAbbreviation":"Microbiome","page":"78","source":"BioMed Central","title":"The hologenome concept of evolution after 10 years","volume":"6","author":[{"family":"Rosenberg","given":"Eugene"},{"family":"Zilber-Rosenberg","given":"Ilana"}],"issued":{"date-parts":[["2018",4,25]]}}},{"id":18,"uris":["http://zotero.org/users/local/ZC0j6oLC/items/WJMMTI73",["http://zotero.org/users/local/ZC0j6oLC/items/WJMMTI73"],"http://zotero.org/users/11069743/items/WJMMTI73"],"itemData":{"id":18,"type":"article-journal","container-title":"Trends in Microbiology","DOI":"10.1016/j.tim.2017.11.002","ISSN":"0966-842X, 1878-4380","issue":"7","journalAbbreviation":"Trends in Microbiology","language":"English","note":"PMID: 29173869","page":"563-574","source":"www.cell.com","title":"Human gut microbiome: function matters","title-short":"Human Gut Microbiome","volume":"26","author":[{"family":"Heintz-Buschart","given":"Anna"},{"family":"Wilmes","given":"Paul"}],"issued":{"date-parts":[["2018",7,1]]}}},{"id":34,"uris":["http://zotero.org/users/local/ZC0j6oLC/items/VL25G3LD",["http://zotero.org/users/local/ZC0j6oLC/items/VL25G3LD"],"http://zotero.org/users/11069743/items/VL25G3LD"],"itemData":{"id":34,"type":"article-journal","abstract":"Abstract.  It has become increasingly evident in recent years that the gut microbiome and the brain communicate in a bidirectional manner, with each possibly af","container-title":"Nutrition Reviews","DOI":"10.1093/nutrit/nuy009","ISSN":"0029-6643","issue":"7","journalAbbreviation":"Nutr Rev","language":"en","page":"481-496","source":"academic.oup.com","title":"Relationship between the gut microbiome and brain function","volume":"76","author":[{"family":"Mohajeri","given":"M. Hasan"},{"family":"La Fata","given":"Giorgio"},{"family":"Steinert","given":"Robert E."},{"family":"Weber","given":"Peter"}],"issued":{"date-parts":[["2018",7,1]]}}}],"schema":"https://github.com/citation-style-language/schema/raw/master/csl-citation.json"}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(Clarke et al., 2014; Heintz-Buschart &amp; Wilmes, 2018; Hird, 2017; Jiménez &amp; Sommer, 2017; D. Liang et al., 2018; Mohajeri et al., 2018; E. Rosenberg &amp; Zilber-Rosenberg, 2018)</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Surprisingly, the effect of agrochemicals on gut microbiota has not been </w:t>
      </w:r>
      <w:r w:rsidR="00D5608E" w:rsidRPr="004B3593">
        <w:rPr>
          <w:rFonts w:ascii="Times New Roman" w:hAnsi="Times New Roman" w:cs="Times New Roman"/>
          <w:sz w:val="24"/>
          <w:szCs w:val="24"/>
        </w:rPr>
        <w:t xml:space="preserve">sufficiently </w:t>
      </w:r>
      <w:r w:rsidRPr="004B3593">
        <w:rPr>
          <w:rFonts w:ascii="Times New Roman" w:hAnsi="Times New Roman" w:cs="Times New Roman"/>
          <w:sz w:val="24"/>
          <w:szCs w:val="24"/>
        </w:rPr>
        <w:t>studied in wildlife despite recent studies demonstrating significant negative impact of common agrochemicals on microbiota of humans</w:t>
      </w:r>
      <w:r w:rsidR="003C31B0" w:rsidRPr="004B3593">
        <w:rPr>
          <w:rFonts w:ascii="Times New Roman" w:hAnsi="Times New Roman" w:cs="Times New Roman"/>
          <w:sz w:val="24"/>
          <w:szCs w:val="24"/>
        </w:rPr>
        <w:t>,</w:t>
      </w:r>
      <w:r w:rsidRPr="004B3593">
        <w:rPr>
          <w:rFonts w:ascii="Times New Roman" w:hAnsi="Times New Roman" w:cs="Times New Roman"/>
          <w:sz w:val="24"/>
          <w:szCs w:val="24"/>
        </w:rPr>
        <w:t xml:space="preserve"> laboratory rodents </w:t>
      </w:r>
      <w:r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{"citationID":"X7zpK85D","properties":{"formattedCitation":"(Defois et al., 2018; Y. Liang et al., 2019; Lukowicz C\\uc0\\u233{}line et al., 2018; Yuan et al., 2019)","plainCitation":"(Defois et al., 2018; Y. Liang et al., 2019; Lukowicz Céline et al., 2018; Yuan et al., 2019)","noteIndex":0},"citationItems":[{"id":"KeHCESEx/laTGleaC","uris":["http://zotero.org/users/local/qWen7kqe/items/PDZY5VPQ",["http://zotero.org/users/local/qWen7kqe/items/PDZY5VPQ"]],"itemData":{"id":3540,"type":"article-journal","abstract":"Growing evidence indicates that the human gut microbiota interacts with xenobiotics, including persistent organic pollutants and foodborne chemicals. The toxicological relevance of the gut microbiota-pollutant interplay is of great concern since chemicals may disrupt gut microbiota functions, with a potential impairment of host homeostasis. Herein we report within batch fermentation systems the impact of food contaminants (polycyclic aromatic hydrocarbons, polychlorobiphenyls, brominated flame retardants, dioxins, pesticides and heterocyclic amines) on the human gut microbiota by metatranscriptome and volatolome i.e. “volatile organic compounds” analyses. Inflammatory host cell response caused by microbial metabolites following the pollutants-gut microbiota interaction, was evaluated on intestinal epithelial TC7 cells. Changes in the volatolome pattern analyzed via solid-phase microextraction coupled to gas chromatography-mass spectrometry mainly resulted in an imbalance in sulfur, phenolic and ester compounds. An increase in microbial gene expression related to lipid metabolism processes as well as the plasma membrane, periplasmic space, protein kinase activity and receptor activity was observed following dioxin, brominated flame retardant and heterocyclic amine exposure. Conversely, all food contaminants tested induced a decreased in microbial transcript levels related to ribosome, translation and nucleic acid binding. Finally, we demonstrated that gut microbiota metabolites resulting from pollutant disturbances may promote the establishment of a pro-inflammatory state in the gut, as stated with the release of cytokine IL-8 by intestinal epithelial cells.","container-title":"Scientific Reports","DOI":"10.1038/s41598-018-29376-9","ISSN":"2045-2322","issue":"1","journalAbbreviation":"Sci Rep","language":"en","page":"1-12","source":"www.nature.com","title":"Food Chemicals Disrupt Human Gut Microbiota Activity And Impact Intestinal Homeostasis As Revealed By In Vitro Systems","volume":"8","author":[{"family":"Defois","given":"Clémence"},{"family":"Ratel","given":"Jérémy"},{"family":"Garrait","given":"Ghislain"},{"family":"Denis","given":"Sylvain"},{"family":"Goff","given":"Olivier Le"},{"family":"Talvas","given":"Jérémie"},{"family":"Mosoni","given":"Pascale"},{"family":"Engel","given":"Erwan"},{"family":"Peyret","given":"Pierre"}],"issued":{"date-parts":[["2018",7,20]]}}},{"id":"KeHCESEx/LiKuGPTr","uris":["http://zotero.org/users/local/qWen7kqe/items/JUY34CVE",["http://zotero.org/users/local/qWen7kqe/items/JUY34CVE"]],"itemData":{"id":3546,"type":"article-journal","abstract":"Disruption of the gut microbiota homeostasis may induce low-grade inflammation leading to obesity-associated diseases. A major protective mechanism is to use the multi-layered mucus structures to keep a safe distance between gut epithelial cells and microbiota. To investigate whether pesticides would induce insulin resistance/obesity through interfering with mucus-bacterial interactions, we conducted a study to determine how long-term exposure to chlorpyrifos affected C57Bl/6 and CD-1 (ICR) mice fed high- or normal-fat diets. To further investigate the effects of chlorpyrifos-altered microbiota, antibiotic treatment and microbiota transplantation experiments were conducted.","container-title":"Microbiome","DOI":"10.1186/s40168-019-0635-4","ISSN":"2049-2618","issue":"1","journalAbbreviation":"Microbiome","page":"19","source":"BioMed Central","title":"Organophosphorus pesticide chlorpyrifos intake promotes obesity and insulin resistance through impacting gut and gut microbiota","volume":"7","author":[{"family":"Liang","given":"Yiran"},{"family":"Zhan","given":"Jing"},{"family":"Liu","given":"Donghui"},{"family":"Luo","given":"Mai"},{"family":"Han","given":"Jiajun"},{"family":"Liu","given":"Xueke"},{"family":"Liu","given":"Chang"},{"family":"Cheng","given":"Zheng"},{"family":"Zhou","given":"Zhiqiang"},{"family":"Wang","given":"Peng"}],"issued":{"date-parts":[["2019",2,11]]}}},{"id":"KeHCESEx/fhnGZRS7","uris":["http://zotero.org/users/local/qWen7kqe/items/F27ADVMT",["http://zotero.org/users/local/qWen7kqe/items/F27ADVMT"]],"itemData":{"id":3544,"type":"article-journal","abstract":"Background:Epidemiological evidence suggests a link between pesticide exposure and the development of metabolic diseases. However, most experimental studies have evaluated the metabolic effects of pesticides using individual molecules, often at nonrelevant doses or in combination with other risk factors such as high-fat diets.Objectives:We aimed to evaluate, in mice, the metabolic consequences of chronic dietary exposure to a pesticide mixture at nontoxic doses, relevant to consumers’ risk assessment.Methods:A mixture of six pesticides commonly used in France, i.e., boscalid, captan, chlorpyrifos, thiofanate, thiacloprid, and ziram, was incorporated in a standard chow at doses exposing mice to the tolerable daily intake (TDI) of each pesticide. Wild-type (WT) and constitutive androstane receptor–deficient (CAR−/−CAR−/−&lt;math alttext=\"C A R negative virgule negative\" display=\"inline\" overflow=\"scroll\"&gt;&lt;mrow&gt;&lt;msup&gt;&lt;mrow&gt;&lt;mtext&gt;CAR&lt;/mtext&gt;&lt;/mrow&gt;&lt;mrow&gt;&lt;mo&gt;−&lt;/mo&gt;&lt;mo&gt;/&lt;/mo&gt;&lt;mo&gt;−&lt;/mo&gt;&lt;/mrow&gt;&lt;/msup&gt;&lt;/mrow&gt;&lt;/math&gt;) male and female mice were exposed for 52 wk. We assessed metabolic parameters [body weight (BW), food and water consumption, glucose tolerance, urinary metabolome] throughout the experiment. At the end of the experiment, we evaluated liver metabolism (histology, transcriptomics, metabolomics, lipidomics) and pesticide detoxification using liquid chromatography–mass spectrometry (LC-MS).Results:Compared to those fed control chow, WT male mice fed pesticide chow had greater BW gain and more adiposity. Moreover, these WT males fed pesticide chow exhibited characteristics of hepatic steatosis and glucose intolerance, which were not observed in those fed control chow. WT exposed female mice exhibited fasting hyperglycemia, higher reduced glutathione (GSH):oxidized glutathione (GSSG) liver ratio and perturbations of gut microbiota–related urinary metabolites compared to WT mice fed control chow. When we performed these experiments on CAR−/−CAR−/−&lt;math alttext=\"C A R negative virgule negative\" display=\"inline\" overflow=\"scroll\"&gt;&lt;mrow&gt;&lt;msup&gt;&lt;mrow&gt;&lt;mtext&gt;CAR&lt;/mtext&gt;&lt;/mrow&gt;&lt;mrow&gt;&lt;mo&gt;−&lt;/mo&gt;&lt;mo&gt;/&lt;/mo&gt;&lt;mo&gt;−&lt;/mo&gt;&lt;/mrow&gt;&lt;/msup&gt;&lt;/mrow&gt;&lt;/math&gt; mice, pesticide-exposed CAR−/−CAR−/−&lt;math alttext=\"C A R negative virgule negative\" display=\"inline\" overflow=\"scroll\"&gt;&lt;mrow&gt;&lt;msup&gt;&lt;mrow&gt;&lt;mtext&gt;CAR&lt;/mtext&gt;&lt;/mrow&gt;&lt;mrow&gt;&lt;mo&gt;−&lt;/mo&gt;&lt;mo&gt;/&lt;/mo&gt;&lt;mo&gt;−&lt;/mo&gt;&lt;/mrow&gt;&lt;/msup&gt;&lt;/mrow&gt;&lt;/math&gt; males did not exhibit BW gain or changes in glucose metabolism compared to the CAR−/−CAR−/−&lt;math alttext=\"C A R negative virgule negative\" display=\"inline\" overflow=\"scroll\"&gt;&lt;mrow&gt;&lt;msup&gt;&lt;mrow&gt;&lt;mtext&gt;CAR&lt;/mtext&gt;&lt;/mrow&gt;&lt;mrow&gt;&lt;mo&gt;−&lt;/mo&gt;&lt;mo&gt;/&lt;/mo&gt;&lt;mo&gt;−&lt;/mo&gt;&lt;/mrow&gt;&lt;/msup&gt;&lt;/mrow&gt;&lt;/math&gt; males fed control chow. Moreover, CAR−/−CAR−/−&lt;math alttext=\"C A R negative virgule negative\" display=\"inline\" overflow=\"scroll\"&gt;&lt;mrow&gt;&lt;msup&gt;&lt;mrow&gt;&lt;mtext&gt;CAR&lt;/mtext&gt;&lt;/mrow&gt;&lt;mrow&gt;&lt;mo&gt;−&lt;/mo&gt;&lt;mo&gt;/&lt;/mo&gt;&lt;mo&gt;−&lt;/mo&gt;&lt;/mrow&gt;&lt;/msup&gt;&lt;/mrow&gt;&lt;/math&gt; females fed pesticide chow exhibited pesticide toxicity with higher BWs and mortality rate compared to the CAR−/−CAR−/−&lt;math alttext=\"C A R negative virgule negative\" display=\"inline\" overflow=\"scroll\"&gt;&lt;mrow&gt;&lt;msup&gt;&lt;mrow&gt;&lt;mtext&gt;CAR&lt;/mtext&gt;&lt;/mrow&gt;&lt;mrow&gt;&lt;mo&gt;−&lt;/mo&gt;&lt;mo&gt;/&lt;/mo&gt;&lt;mo&gt;−&lt;/mo&gt;&lt;/mrow&gt;&lt;/msup&gt;&lt;/mrow&gt;&lt;/math&gt; females fed control chow.Conclusions:To our knowledge, we are the first to demonstrate a sexually dimorphic obesogenic and diabetogenic effect of chronic dietary exposure to a common mixture of pesticides at TDI levels, and to provide evidence for a partial role for CAR in an in vivo mouse model. This raises questions about the relevance of TDI for individual pesticides when present in a mixture.  https://doi.org/10.1289/EHP2877","container-title":"Environmental Health Perspectives","DOI":"10.1289/EHP2877","issue":"6","journalAbbreviation":"Environmental Health Perspectives","page":"067007","source":"ehp.niehs.nih.gov (Atypon)","title":"Metabolic Effects of a Chronic Dietary Exposure to a Low-Dose Pesticide Cocktail in Mice: Sexual Dimorphism and Role of the Constitutive Androstane Receptor","title-short":"Metabolic Effects of a Chronic Dietary Exposure to a Low-Dose Pesticide Cocktail in Mice","volume":"126","author":[{"literal":"Lukowicz Céline"},{"literal":"Ellero-Simatos Sandrine"},{"literal":"Régnier Marion"},{"literal":"Polizzi Arnaud"},{"literal":"Lasserre Frédéric"},{"literal":"Montagner Alexandra"},{"literal":"Lippi Yannick"},{"literal":"Jamin Emilien L."},{"literal":"Martin Jean-François"},{"literal":"Naylies Claire"},{"literal":"Canlet Cécile"},{"literal":"Debrauwer Laurent"},{"literal":"Bertrand-Michel Justine"},{"literal":"Al Saati Talal"},{"literal":"Théodorou Vassilia"},{"literal":"Loiseau Nicolas"},{"literal":"Mselli-Lakhal Laïla"},{"literal":"Guillou Hervé"},{"literal":"Gamet-Payrastre Laurence"}],"issued":{"date-parts":[["2018"]]}}},{"id":"KeHCESEx/YB2f22k3","uris":["http://zotero.org/users/local/qWen7kqe/items/634GXTM8",["http://zotero.org/users/local/qWen7kqe/items/634GXTM8"]],"itemData":{"id":3542,"type":"article-journal","abstract":"Pesticide pollution residues have become increasingly common health hazards over the last several decades because of the wide use of pesticides. The gastrointestinal tract is the first physical and biological barrier to contaminated food and is therefore the first exposure site. Interestingly, a number of studies have shown that the gut microbiota plays a key role in the toxicity of pesticides and has a profound relationship with environmental animal and human health. For instance, intake of the pesticide of chlorpyrifos can promote obesity and insulin resistance through influencing gut and gut microbiota of mice. In this review, we discussed the possible effects of different kinds of widely used pesticides on the gut microbiota in different experimental models and analyzed their possible subsequent effects on the health of the host. More and more studies indicated that the gut microbiota of animals played a very important role in pesticides-induced toxicity, suggesting that gut micriobita was also the unintended recipient of pesticides. We hope that more attention can focus on the relationship between pesticides, gut microbiota and environmental health risk assessment in near future.","container-title":"Chemosphere","DOI":"10.1016/j.chemosphere.2019.04.088","ISSN":"0045-6535","journalAbbreviation":"Chemosphere","language":"en","page":"425-434","source":"ScienceDirect","title":"Gut microbiota: An underestimated and unintended recipient for pesticide-induced toxicity","title-short":"Gut microbiota","volume":"227","author":[{"family":"Yuan","given":"Xianling"},{"family":"Pan","given":"Zihong"},{"family":"Jin","given":"Cuiyuan"},{"family":"Ni","given":"Yinhua"},{"family":"Fu","given":"Zhengwei"},{"family":"Jin","given":"Yuanxiang"}],"issued":{"date-parts":[["2019",7,1]]}}}],"schema":"https://github.com/citation-style-language/schema/raw/master/csl-citation.json"} </w:instrText>
      </w:r>
      <w:r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(Defois et al., 2018; Y. Liang et al., 2019; Lukowicz Céline et al., 2018; Yuan et al., 2019)</w:t>
      </w:r>
      <w:r w:rsidRPr="004B3593">
        <w:rPr>
          <w:rFonts w:ascii="Times New Roman" w:hAnsi="Times New Roman" w:cs="Times New Roman"/>
          <w:sz w:val="24"/>
          <w:szCs w:val="24"/>
        </w:rPr>
        <w:fldChar w:fldCharType="end"/>
      </w:r>
      <w:r w:rsidR="003C31B0" w:rsidRPr="004B3593">
        <w:rPr>
          <w:rFonts w:ascii="Times New Roman" w:hAnsi="Times New Roman" w:cs="Times New Roman"/>
          <w:sz w:val="24"/>
          <w:szCs w:val="24"/>
        </w:rPr>
        <w:t xml:space="preserve"> and wild prairie grouse </w:t>
      </w:r>
      <w:r w:rsidR="00680A19" w:rsidRPr="004B3593">
        <w:rPr>
          <w:rFonts w:ascii="Times New Roman" w:hAnsi="Times New Roman" w:cs="Times New Roman"/>
          <w:sz w:val="24"/>
          <w:szCs w:val="24"/>
        </w:rPr>
        <w:fldChar w:fldCharType="begin"/>
      </w:r>
      <w:r w:rsidR="00680A19" w:rsidRPr="004B3593">
        <w:rPr>
          <w:rFonts w:ascii="Times New Roman" w:hAnsi="Times New Roman" w:cs="Times New Roman"/>
          <w:sz w:val="24"/>
          <w:szCs w:val="24"/>
        </w:rPr>
        <w:instrText xml:space="preserve"> ADDIN ZOTERO_ITEM CSL_CITATION {"citationID":"hxi5f5Nr","properties":{"formattedCitation":"(Drovetski et al., 2022)","plainCitation":"(Drovetski et al., 2022)","noteIndex":0},"citationItems":[{"id":352,"uris":["http://zotero.org/users/11069743/items/TRLESVFI"],"itemData":{"id":352,"type":"article-journal","abstract":"Chemically intensive crop production depletes wildlife food resources, hinders animal development, health, survival, and reproduction, and it suppresses wildlife immune systems, facilitating emergence of infectious diseases with excessive mortality rates. Gut microbiota is crucial for wildlife's response to environmental stressors. Its composition and functionality are sensitive to diet changes and environmental pollution associated with modern crop production. In this study we use shotgun metagenomics (median 8,326,092 sequences/sample) to demonstrate that exposure to modern crop production detrimentally affects cecal microbiota of sharp-tailed grouse (Tympanuchus phasianellus: 9 exposed, 18 unexposed and greater prairie chickens (T. cupido; 11, 11). Exposure to crop production had greater effect on microbiota richness (t = 6.675, P &lt; 0.001) and composition (PERMANOVA r2 = 0.212, P = 0.001) than did the host species (t = 4.762, P &lt; 0.001; r2 = 0.070, P = 0.001) or their interaction (t = 3.449; r2 = 0.072, both P = 0.001), whereas sex and age had no effect. Although microbiota richness was greater in exposed (T. cupido chao1 = 152.8 ± 20.5; T. phasianellus 115.3 ± 17.1) than in unexposed (102.9 ± 15.1 and 101.1 ± 17.2, respectively) birds, some beneficial bacteria dropped out of exposed birds' microbiota or declined and were replaced by potential pathogens. Exposed birds also had higher richness and load of virulome (mean ± standard deviation; T. cupido 24.8 ± 10.0 and 10.1 ± 5.5, respectively; T. phasianellus 13.4 ± 6.8/4.9 ± 2.8) and resistome (T. cupido 46.8 ± 11.7/28.9 ± 10.2, T. phasianellus 38.3 ± 16.7/18.9 ± 14.2) than unexposed birds (T. cupido virulome: 14.2 ± 13.5, 4.5 ± 4.2; T. cupido resistome: 31.6 ± 20.2 and 13.1 ± 12.0; T. phasianellus virulome: 5.2 ± 4.7 and 1.4 ± 1.5; T. phasianellus resistome: 13.7 ± 16.1 and 4.0 ± 6.4).","container-title":"Environmental Pollution","DOI":"10.1016/j.envpol.2022.119418","ISSN":"0269-7491","journalAbbreviation":"Environmental Pollution","language":"en","page":"119418","source":"ScienceDirect","title":"Exposure to crop production alters cecal prokaryotic microbiota, inflates virulome and resistome in wild prairie grouse","volume":"306","author":[{"family":"Drovetski","given":"Serguei V."},{"family":"Schmidt","given":"Brian K."},{"family":"Lai","given":"Jonas E."},{"family":"Gross","given":"Michael S."},{"family":"Hladik","given":"Michelle L."},{"family":"Matterson","given":"Kenan O."},{"family":"Karouna-Renier","given":"Natalie K."}],"issued":{"date-parts":[["2022",8,1]]}}}],"schema":"https://github.com/citation-style-language/schema/raw/master/csl-citation.json"} </w:instrText>
      </w:r>
      <w:r w:rsidR="00680A19" w:rsidRPr="004B3593">
        <w:rPr>
          <w:rFonts w:ascii="Times New Roman" w:hAnsi="Times New Roman" w:cs="Times New Roman"/>
          <w:sz w:val="24"/>
          <w:szCs w:val="24"/>
        </w:rPr>
        <w:fldChar w:fldCharType="separate"/>
      </w:r>
      <w:r w:rsidR="00680A19" w:rsidRPr="004B3593">
        <w:rPr>
          <w:rFonts w:ascii="Times New Roman" w:hAnsi="Times New Roman" w:cs="Times New Roman"/>
          <w:sz w:val="24"/>
          <w:szCs w:val="24"/>
        </w:rPr>
        <w:t>(Drovetski et al., 2022)</w:t>
      </w:r>
      <w:r w:rsidR="00680A19" w:rsidRPr="004B3593">
        <w:rPr>
          <w:rFonts w:ascii="Times New Roman" w:hAnsi="Times New Roman" w:cs="Times New Roman"/>
          <w:sz w:val="24"/>
          <w:szCs w:val="24"/>
        </w:rPr>
        <w:fldChar w:fldCharType="end"/>
      </w:r>
      <w:r w:rsidR="004F50F3" w:rsidRPr="004B3593">
        <w:rPr>
          <w:rFonts w:ascii="Times New Roman" w:hAnsi="Times New Roman" w:cs="Times New Roman"/>
          <w:sz w:val="24"/>
          <w:szCs w:val="24"/>
        </w:rPr>
        <w:t>.</w:t>
      </w:r>
    </w:p>
    <w:p w14:paraId="3ABE871A" w14:textId="128B2E68" w:rsidR="0003565B" w:rsidRPr="004B3593" w:rsidRDefault="0003565B" w:rsidP="0003565B">
      <w:pPr>
        <w:rPr>
          <w:rFonts w:ascii="Times New Roman" w:hAnsi="Times New Roman" w:cs="Times New Roman"/>
          <w:sz w:val="24"/>
          <w:szCs w:val="24"/>
        </w:rPr>
      </w:pPr>
      <w:r w:rsidRPr="004B3593">
        <w:rPr>
          <w:rFonts w:ascii="Times New Roman" w:hAnsi="Times New Roman" w:cs="Times New Roman"/>
          <w:sz w:val="24"/>
          <w:szCs w:val="24"/>
        </w:rPr>
        <w:t xml:space="preserve">Microbiota richness, composition, and functionality are sensitive to diet changes and environmental pollution </w:t>
      </w:r>
      <w:r w:rsidRPr="004B3593">
        <w:rPr>
          <w:rFonts w:ascii="Times New Roman" w:hAnsi="Times New Roman" w:cs="Times New Roman"/>
          <w:sz w:val="24"/>
          <w:szCs w:val="24"/>
        </w:rPr>
        <w:fldChar w:fldCharType="begin"/>
      </w:r>
      <w:r w:rsidR="007F1D0D" w:rsidRPr="004B3593">
        <w:rPr>
          <w:rFonts w:ascii="Times New Roman" w:hAnsi="Times New Roman" w:cs="Times New Roman"/>
          <w:sz w:val="24"/>
          <w:szCs w:val="24"/>
        </w:rPr>
        <w:instrText xml:space="preserve"> ADDIN ZOTERO_ITEM CSL_CITATION {"citationID":"UML9pTPo","properties":{"formattedCitation":"(Jim\\uc0\\u233{}nez &amp; Sommer, 2017; Rosenfeld, 2017)","plainCitation":"(Jiménez &amp; Sommer, 2017; Rosenfeld, 2017)","noteIndex":0},"citationItems":[{"id":10,"uris":["http://zotero.org/users/local/ZC0j6oLC/items/3KWNA4JN",["http://zotero.org/users/local/ZC0j6oLC/items/3KWNA4JN"],"http://zotero.org/users/11069743/items/3KWNA4JN"],"itemData":{"id":10,"type":"article-journal","abstract":"The gut microbiome consists of over 103 to 104 microorganism inhabitants that together possess 150 times more genes that the human genome and thus should be considered an “organ” in of itself. Such communities of bacteria are in dynamic flux and susceptible to changes in host environment and body condition. In turn, gut microbiome disturbances can affect health status of the host. Gut dysbiosis might result in obesity, diabetes, gastrointestinal, immunological, and neurobehavioral disorders. Such host diseases can originate due to shifts in microbiota favoring more pathogenic species that produce various virulence factors, such as lipopolysaccharide. Bacterial virulence factors and metabolites may be transmitted to distal target sites, including the brain. Other potential mechanisms by which gut dysbiosis can affect the host include bacterial-produced metabolites, production of hormones and factors that mimic those produced by the host, and epimutations. All animals, including humans, are exposed daily to various environmental chemicals that can influence the gut microbiome. Exposure to such chemicals might lead to downstream systemic effects that occur secondary to gut microbiome disturbances. Increasing reports have shown that environmental chemical exposures can target both host and the resident gut microbiome. In this review, we will first consider the current knowledge of how endocrine disrupting chemicals (EDCs), heavy metals, air pollution, and nanoparticles can influence the gut microbiome. The second part of the review will consider how potential environmental chemical-induced gut microbiome changes might subsequently induce pathophysiological responses in the host, although definitive evidence for such effects is still lacking. By understanding how these chemicals result in gut dysbiosis, it may open up new remediation strategies in animals, including humans, exposed to such chemicals.","container-title":"Frontiers in Cellular and Infection Microbiology","DOI":"10.3389/fcimb.2017.00396","ISSN":"2235-2988","journalAbbreviation":"Front. Cell. Infect. Microbiol.","language":"English","source":"Frontiers","title":"Gut dysbiosis in animals due to environmental chemical exposures","URL":"https://www.frontiersin.org/articles/10.3389/fcimb.2017.00396/full","volume":"7","author":[{"family":"Rosenfeld","given":"Cheryl S."}],"accessed":{"date-parts":[["2019",7,22]]},"issued":{"date-parts":[["2017"]]}}},{"id":31,"uris":["http://zotero.org/users/local/ZC0j6oLC/items/4A7N2ARW",["http://zotero.org/users/local/ZC0j6oLC/items/4A7N2ARW"],"http://zotero.org/users/11069743/items/4A7N2ARW"],"itemData":{"id":31,"type":"article-journal","abstract":"Recent research in humans, livestock, and wildlife using high-throughput next-generation sequencing (NGS) has identified that resident microbiota play an essential role in disease resistance, host health, and adaptation to biotic and abiotic stressors. Since amphibians are currently facing population declines and extinctions attributable to anthropogenic pressures and emerging diseases, an understanding of the effects of microbiome dysbiosis and mitigation is a prerequisite for amphibian conservation and disease management. Interest is now growing with regard to understanding the influence of unfavorable environmental conditions on the amphibian microbiome and the effects of dysbiosis on the susceptibility to pathogenic infections. Here, we summarize information on the amphibian microbiome, specifically concerning intrinsic and extrinsic factors that shape the skin and gut microbiome. We explore diverse types of unfavorable environmental perturbations and the ways in which they can impact the microbiota of an individual so that we can better comprehend the consequences of stressors and dysbiosis on pathogen emergence and health. We discuss the role of the microbiome in amphibian conservation and identify gaps of knowledge that need to be filled if we are to achieve a meta-organism conservation approach. NGS studies should be complemented with other high-throughput “-omic” approaches to target microbiome functionality. Understanding the microbiome might be the missing piece in the overall strategy that will help maintain the health of amphibians in a world with highly affected environments and that will prevent/mitigate emerging infectious diseases.","container-title":"Biodiversity and Conservation","DOI":"10.1007/s10531-016-1272-x","ISSN":"1572-9710","issue":"4","journalAbbreviation":"Biodivers Conserv","language":"en","page":"763-786","source":"Springer Link","title":"The amphibian microbiome: natural range of variation, pathogenic dysbiosis, and role in conservation","title-short":"The amphibian microbiome","volume":"26","author":[{"family":"Jiménez","given":"Randall R."},{"family":"Sommer","given":"Simone"}],"issued":{"date-parts":[["2017",4,1]]}}}],"schema":"https://github.com/citation-style-language/schema/raw/master/csl-citation.json"} </w:instrText>
      </w:r>
      <w:r w:rsidRPr="004B3593">
        <w:rPr>
          <w:rFonts w:ascii="Times New Roman" w:hAnsi="Times New Roman" w:cs="Times New Roman"/>
          <w:sz w:val="24"/>
          <w:szCs w:val="24"/>
        </w:rPr>
        <w:fldChar w:fldCharType="separate"/>
      </w:r>
      <w:r w:rsidR="007F1D0D" w:rsidRPr="004B3593">
        <w:rPr>
          <w:rFonts w:ascii="Times New Roman" w:hAnsi="Times New Roman" w:cs="Times New Roman"/>
          <w:sz w:val="24"/>
          <w:szCs w:val="24"/>
        </w:rPr>
        <w:t>(Jiménez &amp; Sommer, 2017; Rosenfeld, 2017)</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xml:space="preserve">.  Acute or chronic disturbance of microbiota (dysbiosis), is linked to many animal diseases related to inflammation, gastrointestinal, autoimmune, physiological, cardiovascular, and neurological disorders </w:t>
      </w:r>
      <w:r w:rsidRPr="004B3593">
        <w:rPr>
          <w:rFonts w:ascii="Times New Roman" w:hAnsi="Times New Roman" w:cs="Times New Roman"/>
          <w:sz w:val="24"/>
          <w:szCs w:val="24"/>
        </w:rPr>
        <w:fldChar w:fldCharType="begin"/>
      </w:r>
      <w:r w:rsidR="007F1D0D" w:rsidRPr="004B3593">
        <w:rPr>
          <w:rFonts w:ascii="Times New Roman" w:hAnsi="Times New Roman" w:cs="Times New Roman"/>
          <w:sz w:val="24"/>
          <w:szCs w:val="24"/>
        </w:rPr>
        <w:instrText xml:space="preserve"> ADDIN ZOTERO_ITEM CSL_CITATION {"citationID":"nPk4TUbS","properties":{"formattedCitation":"(Biedermann &amp; Rogler, 2015; Clarke et al., 2014; Heintz-Buschart &amp; Wilmes, 2018; Mohajeri et al., 2018; Stecher et al., 2013)","plainCitation":"(Biedermann &amp; Rogler, 2015; Clarke et al., 2014; Heintz-Buschart &amp; Wilmes, 2018; Mohajeri et al., 2018; Stecher et al., 2013)","noteIndex":0},"citationItems":[{"id":20,"uris":["http://zotero.org/users/local/ZC0j6oLC/items/WKCTUF6Z",["http://zotero.org/users/local/ZC0j6oLC/items/WKCTUF6Z"],"http://zotero.org/users/11069743/items/WKCTUF6Z"],"itemData":{"id":20,"type":"article-journal","abstract":"Hundreds of bacterial species make up the mammalian intestinal microbiota. Following perturbations by antibiotics, diet, immune deficiency or infection, this ecosystem can shift to a state of dysbiosis. This can involve overgrowth (blooming) of otherwise under-represented or potentially harmful bacteria (for example, pathobionts). Here, we present evidence suggesting that dysbiosis fuels horizontal gene transfer between members of this ecosystem, facilitating the transfer of virulence and antibiotic resistance genes and thereby promoting pathogen evolution.","container-title":"Nature Reviews Microbiology","DOI":"10.1038/nrmicro2989","ISSN":"1740-1526, 1740-1534","issue":"4","journalAbbreviation":"Nat Rev Microbiol","language":"en","page":"277-284","source":"DOI.org (Crossref)","title":"'Blooming' in the gut: how dysbiosis might contribute to pathogen evolution","title-short":"'Blooming' in the gut","volume":"11","author":[{"family":"Stecher","given":"Bärbel"},{"family":"Maier","given":"Lisa"},{"family":"Hardt","given":"Wolf-Dietrich"}],"issued":{"date-parts":[["2013",4]]}}},{"id":"KeHCESEx/RAxAWF5O","uris":["http://zotero.org/users/local/ZC0j6oLC/items/HBZM26QK",["http://zotero.org/users/local/ZC0j6oLC/items/HBZM26QK"]],"itemData":{"id":"OQzOxbAo/maThW0Cl","type":"article-journal","title":"Minireview: Gut Microbiota: The Neglected Endocrine Organ","container-title":"Molecular Endocrinology","page":"1221-1238","volume":"28","issue":"8","source":"academic.oup.com","abstract":"The concept that the gut microbiota serves as a virtual endocrine organ arises from a number of important observations. Evidence for a direct role arises from i","DOI":"10.1210/me.2014-1108","ISSN":"0888-8809","title-short":"Minireview","journalAbbreviation":"Mol Endocrinol","language":"en","author":[{"family":"Clarke","given":"Gerard"},{"family":"Stilling","given":"Roman M."},{"family":"Kennedy","given":"Paul J."},{"family":"Stanton","given":"Catherine"},{"family":"Cryan","given":"John F."},{"family":"Dinan","given":"Timothy G."}],"issued":{"date-parts":[["2014",8,1]]}}},{"id":26,"uris":["http://zotero.org/users/local/ZC0j6oLC/items/X9ISM9K4",["http://zotero.org/users/local/ZC0j6oLC/items/X9ISM9K4"],"http://zotero.org/users/11069743/items/X9ISM9K4"],"itemData":{"id":26,"type":"article-journal","abstract":"The intestinal microbiota (previously referred to as “intestinal flora”) has entered the focus of research interest not only in microbiology but also in medicine. Huge progress has been made with respect to the analysis of composition and functions of the human microbiota. An “imbalance” of the microbiota, frequently also called a “dysbiosis,” has been associated with different diseases in recent years. Crohn’s disease and ulcerative colitis as two major forms of inflammatory bowel disease, irritable bowel syndrome (IBS) and some infectious intestinal diseases such as Clostridium difficile colitis feature a dysbiosis of the intestinal flora. Whereas this is somehow expected or less surprising, an imbalance of the microbiota or an enrichment of specific bacterial strains in the flora has been associated with an increasing number of other diseases such as diabetes, metabolic syndrome, non-alcoholic fatty liver disease or steatohepatitis and even psychiatric disorders such as depression or multiple sclerosis. It is important to understand the different aspects of potential contributions of the microbiota to pathophysiology of the mentioned diseases. Conclusion: With the present manuscript, we aim to summarize the current knowledge and provide an overview of the different concepts on how bacteria contribute to health and disease in animal models and—more importantly—humans. In addition, it has to be borne in mind that we are only at the very beginning to understand the complex mechanisms of host-microbial interactions.","container-title":"European Journal of Pediatrics","DOI":"10.1007/s00431-014-2476-2","ISSN":"1432-1076","issue":"2","journalAbbreviation":"Eur J Pediatr","language":"en","page":"151-167","source":"Springer Link","title":"The intestinal microbiota: its role in health and disease","title-short":"The intestinal microbiota","volume":"174","author":[{"family":"Biedermann","given":"Luc"},{"family":"Rogler","given":"Gerhard"}],"issued":{"date-parts":[["2015",2,1]]}}},{"id":18,"uris":["http://zotero.org/users/local/ZC0j6oLC/items/WJMMTI73",["http://zotero.org/users/local/ZC0j6oLC/items/WJMMTI73"],"http://zotero.org/users/11069743/items/WJMMTI73"],"itemData":{"id":18,"type":"article-journal","container-title":"Trends in Microbiology","DOI":"10.1016/j.tim.2017.11.002","ISSN":"0966-842X, 1878-4380","issue":"7","journalAbbreviation":"Trends in Microbiology","language":"English","note":"PMID: 29173869","page":"563-574","source":"www.cell.com","title":"Human gut microbiome: function matters","title-short":"Human Gut Microbiome","volume":"26","author":[{"family":"Heintz-Buschart","given":"Anna"},{"family":"Wilmes","given":"Paul"}],"issued":{"date-parts":[["2018",7,1]]}}},{"id":34,"uris":["http://zotero.org/users/local/ZC0j6oLC/items/VL25G3LD",["http://zotero.org/users/local/ZC0j6oLC/items/VL25G3LD"],"http://zotero.org/users/11069743/items/VL25G3LD"],"itemData":{"id":34,"type":"article-journal","abstract":"Abstract.  It has become increasingly evident in recent years that the gut microbiome and the brain communicate in a bidirectional manner, with each possibly af","container-title":"Nutrition Reviews","DOI":"10.1093/nutrit/nuy009","ISSN":"0029-6643","issue":"7","journalAbbreviation":"Nutr Rev","language":"en","page":"481-496","source":"academic.oup.com","title":"Relationship between the gut microbiome and brain function","volume":"76","author":[{"family":"Mohajeri","given":"M. Hasan"},{"family":"La Fata","given":"Giorgio"},{"family":"Steinert","given":"Robert E."},{"family":"Weber","given":"Peter"}],"issued":{"date-parts":[["2018",7,1]]}}}],"schema":"https://github.com/citation-style-language/schema/raw/master/csl-citation.json"} </w:instrText>
      </w:r>
      <w:r w:rsidRPr="004B3593">
        <w:rPr>
          <w:rFonts w:ascii="Times New Roman" w:hAnsi="Times New Roman" w:cs="Times New Roman"/>
          <w:sz w:val="24"/>
          <w:szCs w:val="24"/>
        </w:rPr>
        <w:fldChar w:fldCharType="separate"/>
      </w:r>
      <w:r w:rsidR="007F1D0D" w:rsidRPr="004B3593">
        <w:rPr>
          <w:rFonts w:ascii="Times New Roman" w:hAnsi="Times New Roman" w:cs="Times New Roman"/>
          <w:sz w:val="24"/>
          <w:szCs w:val="24"/>
        </w:rPr>
        <w:t>(Biedermann &amp; Rogler, 2015; Clarke et al., 2014; Heintz-Buschart &amp; Wilmes, 2018; Mohajeri et al., 2018; Stecher et al., 2013)</w:t>
      </w:r>
      <w:r w:rsidRPr="004B3593">
        <w:rPr>
          <w:rFonts w:ascii="Times New Roman" w:hAnsi="Times New Roman" w:cs="Times New Roman"/>
          <w:sz w:val="24"/>
          <w:szCs w:val="24"/>
        </w:rPr>
        <w:fldChar w:fldCharType="end"/>
      </w:r>
      <w:r w:rsidRPr="004B3593">
        <w:rPr>
          <w:rFonts w:ascii="Times New Roman" w:hAnsi="Times New Roman" w:cs="Times New Roman"/>
          <w:sz w:val="24"/>
          <w:szCs w:val="24"/>
        </w:rPr>
        <w:t>.  Understanding the breadth and mechanism of sublethal effects of agrochemicals on non-target wildlife is the key for developing sustainable agricultural practices.  We chose cotton production because cotton is the most chemically intensive crop in the USA.  According to a USDA survey (</w:t>
      </w:r>
      <w:hyperlink r:id="rId9" w:history="1">
        <w:r w:rsidRPr="004B3593">
          <w:rPr>
            <w:rStyle w:val="Hyperlink"/>
            <w:rFonts w:ascii="Times New Roman" w:hAnsi="Times New Roman" w:cs="Times New Roman"/>
            <w:sz w:val="24"/>
            <w:szCs w:val="24"/>
          </w:rPr>
          <w:t>https://www.nass.usda.gov/Surveys/Guide_to_NASS_Surveys/Chemical_Use/</w:t>
        </w:r>
      </w:hyperlink>
      <w:r w:rsidRPr="004B3593">
        <w:rPr>
          <w:rFonts w:ascii="Times New Roman" w:hAnsi="Times New Roman" w:cs="Times New Roman"/>
          <w:sz w:val="24"/>
          <w:szCs w:val="24"/>
        </w:rPr>
        <w:t xml:space="preserve">). Cotton farmers use on average nearly 36 lb. of pesticides per acre each year, whereas corn farmers use 29 lb., soy farmers use 25 lb., and wheat farmers use 9 lb. </w:t>
      </w:r>
    </w:p>
    <w:p w14:paraId="70C19323" w14:textId="77777777" w:rsidR="008C51C7" w:rsidRDefault="008C51C7" w:rsidP="00CD2C6C">
      <w:pPr>
        <w:spacing w:after="0" w:line="240" w:lineRule="auto"/>
        <w:rPr>
          <w:rFonts w:ascii="Times New Roman" w:hAnsi="Times New Roman" w:cs="Times New Roman"/>
          <w:b/>
          <w:sz w:val="24"/>
          <w:szCs w:val="24"/>
        </w:rPr>
      </w:pPr>
    </w:p>
    <w:p w14:paraId="09C1F12C" w14:textId="67EDA899" w:rsidR="008C51C7" w:rsidRPr="004B3593" w:rsidRDefault="006E0C6D" w:rsidP="008C51C7">
      <w:pPr>
        <w:spacing w:after="0" w:line="240" w:lineRule="auto"/>
        <w:rPr>
          <w:rFonts w:ascii="Times New Roman" w:hAnsi="Times New Roman" w:cs="Times New Roman"/>
          <w:b/>
          <w:sz w:val="24"/>
          <w:szCs w:val="24"/>
        </w:rPr>
      </w:pPr>
      <w:r w:rsidRPr="004B3593">
        <w:rPr>
          <w:rFonts w:ascii="Times New Roman" w:hAnsi="Times New Roman" w:cs="Times New Roman"/>
          <w:b/>
          <w:sz w:val="24"/>
          <w:szCs w:val="24"/>
        </w:rPr>
        <w:t>Research Objectives</w:t>
      </w:r>
    </w:p>
    <w:p w14:paraId="6DB9784A" w14:textId="70E7FF5A" w:rsidR="005735A5" w:rsidRPr="004B3593" w:rsidRDefault="005735A5" w:rsidP="005735A5">
      <w:pPr>
        <w:rPr>
          <w:rFonts w:ascii="Times New Roman" w:hAnsi="Times New Roman" w:cs="Times New Roman"/>
          <w:sz w:val="24"/>
          <w:szCs w:val="24"/>
        </w:rPr>
      </w:pPr>
      <w:r w:rsidRPr="004B3593">
        <w:rPr>
          <w:rFonts w:ascii="Times New Roman" w:hAnsi="Times New Roman" w:cs="Times New Roman"/>
          <w:sz w:val="24"/>
          <w:szCs w:val="24"/>
        </w:rPr>
        <w:t xml:space="preserve">The overall </w:t>
      </w:r>
      <w:r w:rsidR="00474987" w:rsidRPr="004B3593">
        <w:rPr>
          <w:rFonts w:ascii="Times New Roman" w:hAnsi="Times New Roman" w:cs="Times New Roman"/>
          <w:sz w:val="24"/>
          <w:szCs w:val="24"/>
        </w:rPr>
        <w:t xml:space="preserve">objective is to test a </w:t>
      </w:r>
      <w:r w:rsidRPr="004B3593">
        <w:rPr>
          <w:rFonts w:ascii="Times New Roman" w:hAnsi="Times New Roman" w:cs="Times New Roman"/>
          <w:sz w:val="24"/>
          <w:szCs w:val="24"/>
        </w:rPr>
        <w:t xml:space="preserve">hypothesis that birds exposed to cotton production and associated agrochemicals suffer from dysbiosis and immunomodulation and therefore may be more susceptible to disease compared to those residing in </w:t>
      </w:r>
      <w:r w:rsidR="005D6CC9" w:rsidRPr="004B3593">
        <w:rPr>
          <w:rFonts w:ascii="Times New Roman" w:hAnsi="Times New Roman" w:cs="Times New Roman"/>
          <w:sz w:val="24"/>
          <w:szCs w:val="24"/>
        </w:rPr>
        <w:t xml:space="preserve">uncultivated </w:t>
      </w:r>
      <w:r w:rsidRPr="004B3593">
        <w:rPr>
          <w:rFonts w:ascii="Times New Roman" w:hAnsi="Times New Roman" w:cs="Times New Roman"/>
          <w:sz w:val="24"/>
          <w:szCs w:val="24"/>
        </w:rPr>
        <w:t xml:space="preserve">habitats. </w:t>
      </w:r>
    </w:p>
    <w:p w14:paraId="47DDEAC1" w14:textId="4A50D7A0" w:rsidR="007F1D0D" w:rsidRPr="004B3593" w:rsidRDefault="005735A5">
      <w:pPr>
        <w:rPr>
          <w:rFonts w:ascii="Times New Roman" w:hAnsi="Times New Roman" w:cs="Times New Roman"/>
          <w:b/>
          <w:bCs/>
          <w:sz w:val="24"/>
          <w:szCs w:val="24"/>
        </w:rPr>
      </w:pPr>
      <w:r w:rsidRPr="004B3593">
        <w:rPr>
          <w:rFonts w:ascii="Times New Roman" w:hAnsi="Times New Roman" w:cs="Times New Roman"/>
          <w:sz w:val="24"/>
          <w:szCs w:val="24"/>
        </w:rPr>
        <w:t xml:space="preserve">Specific hypotheses are: 1) birds that reside on or in immediate vicinity of cotton farms have higher levels of pesticide residues than those that reside in the areas unaffected by any crop production; 2) </w:t>
      </w:r>
      <w:bookmarkStart w:id="0" w:name="_Hlk68171776"/>
      <w:r w:rsidRPr="004B3593">
        <w:rPr>
          <w:rFonts w:ascii="Times New Roman" w:hAnsi="Times New Roman" w:cs="Times New Roman"/>
          <w:sz w:val="24"/>
          <w:szCs w:val="24"/>
        </w:rPr>
        <w:t xml:space="preserve">microbiota from small intestine differ in composition and functionality from those in the ceca </w:t>
      </w:r>
      <w:bookmarkEnd w:id="0"/>
      <w:r w:rsidRPr="004B3593">
        <w:rPr>
          <w:rFonts w:ascii="Times New Roman" w:hAnsi="Times New Roman" w:cs="Times New Roman"/>
          <w:sz w:val="24"/>
          <w:szCs w:val="24"/>
        </w:rPr>
        <w:t>and therefore upon exposure to cotton-associated agrochemicals, birds without ceca exhibit increased virulence factors and antibiotic resistance genes, immune system effects, higher oxidative stress, and altered blood chemistry than birds with ceca; 3) insectivorous birds feeding on ground insects that are targeted by pesticides exhibit increased virulence factors and antibiotic resistance genes, immune system effects, oxidative stress, and altered blood chemistry than those feeding on non-targeted wood-burrowing insects.</w:t>
      </w:r>
      <w:r w:rsidR="007F1D0D" w:rsidRPr="004B3593">
        <w:rPr>
          <w:rFonts w:ascii="Times New Roman" w:hAnsi="Times New Roman" w:cs="Times New Roman"/>
          <w:b/>
          <w:bCs/>
          <w:sz w:val="24"/>
          <w:szCs w:val="24"/>
        </w:rPr>
        <w:br w:type="page"/>
      </w:r>
    </w:p>
    <w:p w14:paraId="07289A3D" w14:textId="007FF4C5" w:rsidR="00CD2C6C" w:rsidRDefault="00CD2C6C" w:rsidP="00CD2C6C">
      <w:pPr>
        <w:spacing w:after="0" w:line="240" w:lineRule="auto"/>
        <w:rPr>
          <w:rFonts w:ascii="Times New Roman" w:hAnsi="Times New Roman" w:cs="Times New Roman"/>
          <w:b/>
          <w:bCs/>
          <w:sz w:val="24"/>
          <w:szCs w:val="24"/>
        </w:rPr>
      </w:pPr>
      <w:r w:rsidRPr="0059788D">
        <w:rPr>
          <w:rFonts w:ascii="Times New Roman" w:hAnsi="Times New Roman" w:cs="Times New Roman"/>
          <w:b/>
          <w:bCs/>
          <w:sz w:val="24"/>
          <w:szCs w:val="24"/>
        </w:rPr>
        <w:lastRenderedPageBreak/>
        <w:t>Literature Cited</w:t>
      </w:r>
    </w:p>
    <w:p w14:paraId="6120CC46" w14:textId="77777777" w:rsidR="008C51C7" w:rsidRPr="0059788D" w:rsidRDefault="008C51C7" w:rsidP="00CD2C6C">
      <w:pPr>
        <w:spacing w:after="0" w:line="240" w:lineRule="auto"/>
        <w:rPr>
          <w:rFonts w:ascii="Times New Roman" w:hAnsi="Times New Roman" w:cs="Times New Roman"/>
          <w:b/>
          <w:bCs/>
          <w:sz w:val="24"/>
          <w:szCs w:val="24"/>
        </w:rPr>
      </w:pPr>
    </w:p>
    <w:p w14:paraId="1098D105"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fldChar w:fldCharType="begin"/>
      </w:r>
      <w:r w:rsidRPr="005163F9">
        <w:rPr>
          <w:rFonts w:ascii="Times New Roman" w:hAnsi="Times New Roman" w:cs="Times New Roman"/>
        </w:rPr>
        <w:instrText xml:space="preserve"> ADDIN ZOTERO_BIBL {"uncited":[],"omitted":[],"custom":[]} CSL_BIBLIOGRAPHY </w:instrText>
      </w:r>
      <w:r w:rsidRPr="005163F9">
        <w:rPr>
          <w:rFonts w:ascii="Times New Roman" w:hAnsi="Times New Roman" w:cs="Times New Roman"/>
        </w:rPr>
        <w:fldChar w:fldCharType="separate"/>
      </w:r>
      <w:r w:rsidRPr="005163F9">
        <w:rPr>
          <w:rFonts w:ascii="Times New Roman" w:hAnsi="Times New Roman" w:cs="Times New Roman"/>
        </w:rPr>
        <w:t xml:space="preserve">Biedermann, L., &amp; Rogler, G. (2015). The intestinal microbiota: Its role in health and disease. </w:t>
      </w:r>
      <w:r w:rsidRPr="005163F9">
        <w:rPr>
          <w:rFonts w:ascii="Times New Roman" w:hAnsi="Times New Roman" w:cs="Times New Roman"/>
          <w:i/>
          <w:iCs/>
        </w:rPr>
        <w:t>European Journal of Pediatrics</w:t>
      </w:r>
      <w:r w:rsidRPr="005163F9">
        <w:rPr>
          <w:rFonts w:ascii="Times New Roman" w:hAnsi="Times New Roman" w:cs="Times New Roman"/>
        </w:rPr>
        <w:t xml:space="preserve">, </w:t>
      </w:r>
      <w:r w:rsidRPr="005163F9">
        <w:rPr>
          <w:rFonts w:ascii="Times New Roman" w:hAnsi="Times New Roman" w:cs="Times New Roman"/>
          <w:i/>
          <w:iCs/>
        </w:rPr>
        <w:t>174</w:t>
      </w:r>
      <w:r w:rsidRPr="005163F9">
        <w:rPr>
          <w:rFonts w:ascii="Times New Roman" w:hAnsi="Times New Roman" w:cs="Times New Roman"/>
        </w:rPr>
        <w:t>(2), 151–167. https://doi.org/10.1007/s00431-014-2476-2</w:t>
      </w:r>
    </w:p>
    <w:p w14:paraId="51976E4E"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Clarke, G., Stilling, R. M., Kennedy, P. J., Stanton, C., Cryan, J. F., &amp; Dinan, T. G. (2014). Minireview: Gut Microbiota: The Neglected Endocrine Organ. </w:t>
      </w:r>
      <w:r w:rsidRPr="005163F9">
        <w:rPr>
          <w:rFonts w:ascii="Times New Roman" w:hAnsi="Times New Roman" w:cs="Times New Roman"/>
          <w:i/>
          <w:iCs/>
        </w:rPr>
        <w:t>Molecular Endocrinology</w:t>
      </w:r>
      <w:r w:rsidRPr="005163F9">
        <w:rPr>
          <w:rFonts w:ascii="Times New Roman" w:hAnsi="Times New Roman" w:cs="Times New Roman"/>
        </w:rPr>
        <w:t xml:space="preserve">, </w:t>
      </w:r>
      <w:r w:rsidRPr="005163F9">
        <w:rPr>
          <w:rFonts w:ascii="Times New Roman" w:hAnsi="Times New Roman" w:cs="Times New Roman"/>
          <w:i/>
          <w:iCs/>
        </w:rPr>
        <w:t>28</w:t>
      </w:r>
      <w:r w:rsidRPr="005163F9">
        <w:rPr>
          <w:rFonts w:ascii="Times New Roman" w:hAnsi="Times New Roman" w:cs="Times New Roman"/>
        </w:rPr>
        <w:t>(8), 1221–1238. https://doi.org/10.1210/me.2014-1108</w:t>
      </w:r>
    </w:p>
    <w:p w14:paraId="396F76BC"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Defois, C., Ratel, J., Garrait, G., Denis, S., Goff, O. L., Talvas, J., Mosoni, P., Engel, E., &amp; Peyret, P. (2018). Food Chemicals Disrupt Human Gut Microbiota Activity And Impact Intestinal Homeostasis As Revealed By In Vitro Systems. </w:t>
      </w:r>
      <w:r w:rsidRPr="005163F9">
        <w:rPr>
          <w:rFonts w:ascii="Times New Roman" w:hAnsi="Times New Roman" w:cs="Times New Roman"/>
          <w:i/>
          <w:iCs/>
        </w:rPr>
        <w:t>Scientific Reports</w:t>
      </w:r>
      <w:r w:rsidRPr="005163F9">
        <w:rPr>
          <w:rFonts w:ascii="Times New Roman" w:hAnsi="Times New Roman" w:cs="Times New Roman"/>
        </w:rPr>
        <w:t xml:space="preserve">, </w:t>
      </w:r>
      <w:r w:rsidRPr="005163F9">
        <w:rPr>
          <w:rFonts w:ascii="Times New Roman" w:hAnsi="Times New Roman" w:cs="Times New Roman"/>
          <w:i/>
          <w:iCs/>
        </w:rPr>
        <w:t>8</w:t>
      </w:r>
      <w:r w:rsidRPr="005163F9">
        <w:rPr>
          <w:rFonts w:ascii="Times New Roman" w:hAnsi="Times New Roman" w:cs="Times New Roman"/>
        </w:rPr>
        <w:t>(1), 1–12. https://doi.org/10.1038/s41598-018-29376-9</w:t>
      </w:r>
    </w:p>
    <w:p w14:paraId="042AE052"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Drovetski, S. V., Schmidt, B. K., Lai, J. E., Gross, M. S., Hladik, M. L., Matterson, K. O., &amp; Karouna-Renier, N. K. (2022). Exposure to crop production alters cecal prokaryotic microbiota, inflates virulome and resistome in wild prairie grouse. </w:t>
      </w:r>
      <w:r w:rsidRPr="005163F9">
        <w:rPr>
          <w:rFonts w:ascii="Times New Roman" w:hAnsi="Times New Roman" w:cs="Times New Roman"/>
          <w:i/>
          <w:iCs/>
        </w:rPr>
        <w:t>Environmental Pollution</w:t>
      </w:r>
      <w:r w:rsidRPr="005163F9">
        <w:rPr>
          <w:rFonts w:ascii="Times New Roman" w:hAnsi="Times New Roman" w:cs="Times New Roman"/>
        </w:rPr>
        <w:t xml:space="preserve">, </w:t>
      </w:r>
      <w:r w:rsidRPr="005163F9">
        <w:rPr>
          <w:rFonts w:ascii="Times New Roman" w:hAnsi="Times New Roman" w:cs="Times New Roman"/>
          <w:i/>
          <w:iCs/>
        </w:rPr>
        <w:t>306</w:t>
      </w:r>
      <w:r w:rsidRPr="005163F9">
        <w:rPr>
          <w:rFonts w:ascii="Times New Roman" w:hAnsi="Times New Roman" w:cs="Times New Roman"/>
        </w:rPr>
        <w:t>, 119418. https://doi.org/10.1016/j.envpol.2022.119418</w:t>
      </w:r>
    </w:p>
    <w:p w14:paraId="7BEC4AFB"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Dudley, N., &amp; Alexander, S. (2017). Agriculture and biodiversity: A review. </w:t>
      </w:r>
      <w:r w:rsidRPr="005163F9">
        <w:rPr>
          <w:rFonts w:ascii="Times New Roman" w:hAnsi="Times New Roman" w:cs="Times New Roman"/>
          <w:i/>
          <w:iCs/>
        </w:rPr>
        <w:t>Biodiversity</w:t>
      </w:r>
      <w:r w:rsidRPr="005163F9">
        <w:rPr>
          <w:rFonts w:ascii="Times New Roman" w:hAnsi="Times New Roman" w:cs="Times New Roman"/>
        </w:rPr>
        <w:t xml:space="preserve">, </w:t>
      </w:r>
      <w:r w:rsidRPr="005163F9">
        <w:rPr>
          <w:rFonts w:ascii="Times New Roman" w:hAnsi="Times New Roman" w:cs="Times New Roman"/>
          <w:i/>
          <w:iCs/>
        </w:rPr>
        <w:t>18</w:t>
      </w:r>
      <w:r w:rsidRPr="005163F9">
        <w:rPr>
          <w:rFonts w:ascii="Times New Roman" w:hAnsi="Times New Roman" w:cs="Times New Roman"/>
        </w:rPr>
        <w:t>(2–3), 45–49. https://doi.org/10.1080/14888386.2017.1351892</w:t>
      </w:r>
    </w:p>
    <w:p w14:paraId="33056AEE"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Gibbons, D., Morrissey, C., &amp; Mineau, P. (2015). A review of the direct and indirect effects of neonicotinoids and fipronil on vertebrate wildlife. </w:t>
      </w:r>
      <w:r w:rsidRPr="005163F9">
        <w:rPr>
          <w:rFonts w:ascii="Times New Roman" w:hAnsi="Times New Roman" w:cs="Times New Roman"/>
          <w:i/>
          <w:iCs/>
        </w:rPr>
        <w:t>Environmental Science and Pollution Research</w:t>
      </w:r>
      <w:r w:rsidRPr="005163F9">
        <w:rPr>
          <w:rFonts w:ascii="Times New Roman" w:hAnsi="Times New Roman" w:cs="Times New Roman"/>
        </w:rPr>
        <w:t xml:space="preserve">, </w:t>
      </w:r>
      <w:r w:rsidRPr="005163F9">
        <w:rPr>
          <w:rFonts w:ascii="Times New Roman" w:hAnsi="Times New Roman" w:cs="Times New Roman"/>
          <w:i/>
          <w:iCs/>
        </w:rPr>
        <w:t>22</w:t>
      </w:r>
      <w:r w:rsidRPr="005163F9">
        <w:rPr>
          <w:rFonts w:ascii="Times New Roman" w:hAnsi="Times New Roman" w:cs="Times New Roman"/>
        </w:rPr>
        <w:t>(1), 103–118. https://doi.org/10.1007/s11356-014-3180-5</w:t>
      </w:r>
    </w:p>
    <w:p w14:paraId="71E40E17"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Green, R. E., Cornell, S. J., Scharlemann, J. P. W., &amp; Balmford, A. (2005). Farming and the fate of wild nature. </w:t>
      </w:r>
      <w:r w:rsidRPr="005163F9">
        <w:rPr>
          <w:rFonts w:ascii="Times New Roman" w:hAnsi="Times New Roman" w:cs="Times New Roman"/>
          <w:i/>
          <w:iCs/>
        </w:rPr>
        <w:t>Science</w:t>
      </w:r>
      <w:r w:rsidRPr="005163F9">
        <w:rPr>
          <w:rFonts w:ascii="Times New Roman" w:hAnsi="Times New Roman" w:cs="Times New Roman"/>
        </w:rPr>
        <w:t xml:space="preserve">, </w:t>
      </w:r>
      <w:r w:rsidRPr="005163F9">
        <w:rPr>
          <w:rFonts w:ascii="Times New Roman" w:hAnsi="Times New Roman" w:cs="Times New Roman"/>
          <w:i/>
          <w:iCs/>
        </w:rPr>
        <w:t>307</w:t>
      </w:r>
      <w:r w:rsidRPr="005163F9">
        <w:rPr>
          <w:rFonts w:ascii="Times New Roman" w:hAnsi="Times New Roman" w:cs="Times New Roman"/>
        </w:rPr>
        <w:t>(5709), 550–555. https://doi.org/10.1126/science.1106049</w:t>
      </w:r>
    </w:p>
    <w:p w14:paraId="54FD7C32"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Halsch, C. A., Code, A., Hoyle, S. M., Fordyce, J. A., Baert, N., &amp; Forister, M. L. (2020). Pesticide Contamination of Milkweeds Across the Agricultural, Urban, and Open Spaces of Low-Elevation Northern California. </w:t>
      </w:r>
      <w:r w:rsidRPr="005163F9">
        <w:rPr>
          <w:rFonts w:ascii="Times New Roman" w:hAnsi="Times New Roman" w:cs="Times New Roman"/>
          <w:i/>
          <w:iCs/>
        </w:rPr>
        <w:t>Frontiers in Ecology and Evolution</w:t>
      </w:r>
      <w:r w:rsidRPr="005163F9">
        <w:rPr>
          <w:rFonts w:ascii="Times New Roman" w:hAnsi="Times New Roman" w:cs="Times New Roman"/>
        </w:rPr>
        <w:t xml:space="preserve">, </w:t>
      </w:r>
      <w:r w:rsidRPr="005163F9">
        <w:rPr>
          <w:rFonts w:ascii="Times New Roman" w:hAnsi="Times New Roman" w:cs="Times New Roman"/>
          <w:i/>
          <w:iCs/>
        </w:rPr>
        <w:t>8</w:t>
      </w:r>
      <w:r w:rsidRPr="005163F9">
        <w:rPr>
          <w:rFonts w:ascii="Times New Roman" w:hAnsi="Times New Roman" w:cs="Times New Roman"/>
        </w:rPr>
        <w:t>. https://doi.org/10.3389/fevo.2020.00162</w:t>
      </w:r>
    </w:p>
    <w:p w14:paraId="1B925D1D"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Heintz-Buschart, A., &amp; Wilmes, P. (2018). Human gut microbiome: Function matters. </w:t>
      </w:r>
      <w:r w:rsidRPr="005163F9">
        <w:rPr>
          <w:rFonts w:ascii="Times New Roman" w:hAnsi="Times New Roman" w:cs="Times New Roman"/>
          <w:i/>
          <w:iCs/>
        </w:rPr>
        <w:t>Trends in Microbiology</w:t>
      </w:r>
      <w:r w:rsidRPr="005163F9">
        <w:rPr>
          <w:rFonts w:ascii="Times New Roman" w:hAnsi="Times New Roman" w:cs="Times New Roman"/>
        </w:rPr>
        <w:t xml:space="preserve">, </w:t>
      </w:r>
      <w:r w:rsidRPr="005163F9">
        <w:rPr>
          <w:rFonts w:ascii="Times New Roman" w:hAnsi="Times New Roman" w:cs="Times New Roman"/>
          <w:i/>
          <w:iCs/>
        </w:rPr>
        <w:t>26</w:t>
      </w:r>
      <w:r w:rsidRPr="005163F9">
        <w:rPr>
          <w:rFonts w:ascii="Times New Roman" w:hAnsi="Times New Roman" w:cs="Times New Roman"/>
        </w:rPr>
        <w:t>(7), 563–574. https://doi.org/10.1016/j.tim.2017.11.002</w:t>
      </w:r>
    </w:p>
    <w:p w14:paraId="590AD7EF"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Hird, S. M. (2017). Evolutionary biology needs wild microbiomes. </w:t>
      </w:r>
      <w:r w:rsidRPr="005163F9">
        <w:rPr>
          <w:rFonts w:ascii="Times New Roman" w:hAnsi="Times New Roman" w:cs="Times New Roman"/>
          <w:i/>
          <w:iCs/>
        </w:rPr>
        <w:t>Frontiers in Microbiology</w:t>
      </w:r>
      <w:r w:rsidRPr="005163F9">
        <w:rPr>
          <w:rFonts w:ascii="Times New Roman" w:hAnsi="Times New Roman" w:cs="Times New Roman"/>
        </w:rPr>
        <w:t xml:space="preserve">, </w:t>
      </w:r>
      <w:r w:rsidRPr="005163F9">
        <w:rPr>
          <w:rFonts w:ascii="Times New Roman" w:hAnsi="Times New Roman" w:cs="Times New Roman"/>
          <w:i/>
          <w:iCs/>
        </w:rPr>
        <w:t>8</w:t>
      </w:r>
      <w:r w:rsidRPr="005163F9">
        <w:rPr>
          <w:rFonts w:ascii="Times New Roman" w:hAnsi="Times New Roman" w:cs="Times New Roman"/>
        </w:rPr>
        <w:t>. https://doi.org/10.3389/fmicb.2017.00725</w:t>
      </w:r>
    </w:p>
    <w:p w14:paraId="100AC0B9"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Jiménez, R. R., &amp; Sommer, S. (2017). The amphibian microbiome: Natural range of variation, pathogenic dysbiosis, and role in conservation. </w:t>
      </w:r>
      <w:r w:rsidRPr="005163F9">
        <w:rPr>
          <w:rFonts w:ascii="Times New Roman" w:hAnsi="Times New Roman" w:cs="Times New Roman"/>
          <w:i/>
          <w:iCs/>
        </w:rPr>
        <w:t>Biodiversity and Conservation</w:t>
      </w:r>
      <w:r w:rsidRPr="005163F9">
        <w:rPr>
          <w:rFonts w:ascii="Times New Roman" w:hAnsi="Times New Roman" w:cs="Times New Roman"/>
        </w:rPr>
        <w:t xml:space="preserve">, </w:t>
      </w:r>
      <w:r w:rsidRPr="005163F9">
        <w:rPr>
          <w:rFonts w:ascii="Times New Roman" w:hAnsi="Times New Roman" w:cs="Times New Roman"/>
          <w:i/>
          <w:iCs/>
        </w:rPr>
        <w:t>26</w:t>
      </w:r>
      <w:r w:rsidRPr="005163F9">
        <w:rPr>
          <w:rFonts w:ascii="Times New Roman" w:hAnsi="Times New Roman" w:cs="Times New Roman"/>
        </w:rPr>
        <w:t>(4), 763–786. https://doi.org/10.1007/s10531-016-1272-x</w:t>
      </w:r>
    </w:p>
    <w:p w14:paraId="079024F8"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Liang, D., Leung, R. K.-K., Guan, W., &amp; Au, W. W. (2018). Involvement of gut microbiome in human health and disease: Brief overview, knowledge gaps and research opportunities. </w:t>
      </w:r>
      <w:r w:rsidRPr="005163F9">
        <w:rPr>
          <w:rFonts w:ascii="Times New Roman" w:hAnsi="Times New Roman" w:cs="Times New Roman"/>
          <w:i/>
          <w:iCs/>
        </w:rPr>
        <w:t>Gut Pathogens</w:t>
      </w:r>
      <w:r w:rsidRPr="005163F9">
        <w:rPr>
          <w:rFonts w:ascii="Times New Roman" w:hAnsi="Times New Roman" w:cs="Times New Roman"/>
        </w:rPr>
        <w:t xml:space="preserve">, </w:t>
      </w:r>
      <w:r w:rsidRPr="005163F9">
        <w:rPr>
          <w:rFonts w:ascii="Times New Roman" w:hAnsi="Times New Roman" w:cs="Times New Roman"/>
          <w:i/>
          <w:iCs/>
        </w:rPr>
        <w:t>10</w:t>
      </w:r>
      <w:r w:rsidRPr="005163F9">
        <w:rPr>
          <w:rFonts w:ascii="Times New Roman" w:hAnsi="Times New Roman" w:cs="Times New Roman"/>
        </w:rPr>
        <w:t>. https://doi.org/10.1186/s13099-018-0230-4</w:t>
      </w:r>
    </w:p>
    <w:p w14:paraId="3FE6F491"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Liang, Y., Zhan, J., Liu, D., Luo, M., Han, J., Liu, X., Liu, C., Cheng, Z., Zhou, Z., &amp; Wang, P. (2019). Organophosphorus pesticide chlorpyrifos intake promotes obesity and insulin resistance through impacting gut and gut microbiota. </w:t>
      </w:r>
      <w:r w:rsidRPr="005163F9">
        <w:rPr>
          <w:rFonts w:ascii="Times New Roman" w:hAnsi="Times New Roman" w:cs="Times New Roman"/>
          <w:i/>
          <w:iCs/>
        </w:rPr>
        <w:t>Microbiome</w:t>
      </w:r>
      <w:r w:rsidRPr="005163F9">
        <w:rPr>
          <w:rFonts w:ascii="Times New Roman" w:hAnsi="Times New Roman" w:cs="Times New Roman"/>
        </w:rPr>
        <w:t xml:space="preserve">, </w:t>
      </w:r>
      <w:r w:rsidRPr="005163F9">
        <w:rPr>
          <w:rFonts w:ascii="Times New Roman" w:hAnsi="Times New Roman" w:cs="Times New Roman"/>
          <w:i/>
          <w:iCs/>
        </w:rPr>
        <w:t>7</w:t>
      </w:r>
      <w:r w:rsidRPr="005163F9">
        <w:rPr>
          <w:rFonts w:ascii="Times New Roman" w:hAnsi="Times New Roman" w:cs="Times New Roman"/>
        </w:rPr>
        <w:t>(1), 19. https://doi.org/10.1186/s40168-019-0635-4</w:t>
      </w:r>
    </w:p>
    <w:p w14:paraId="1A413A8A"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Lukowicz Céline, Ellero-Simatos Sandrine, Régnier Marion, Polizzi Arnaud, Lasserre Frédéric, Montagner Alexandra, Lippi Yannick, Jamin Emilien L., Martin Jean-François, Naylies Claire, Canlet Cécile, Debrauwer Laurent, Bertrand-Michel Justine, Al Saati Talal, Théodorou Vassilia, Loiseau Nicolas, Mselli-Lakhal Laïla, Guillou Hervé, &amp; Gamet-Payrastre Laurence. (2018). Metabolic Effects of a Chronic Dietary Exposure to a Low-Dose Pesticide Cocktail in Mice: Sexual Dimorphism and Role of the Constitutive Androstane Receptor. </w:t>
      </w:r>
      <w:r w:rsidRPr="005163F9">
        <w:rPr>
          <w:rFonts w:ascii="Times New Roman" w:hAnsi="Times New Roman" w:cs="Times New Roman"/>
          <w:i/>
          <w:iCs/>
        </w:rPr>
        <w:t>Environmental Health Perspectives</w:t>
      </w:r>
      <w:r w:rsidRPr="005163F9">
        <w:rPr>
          <w:rFonts w:ascii="Times New Roman" w:hAnsi="Times New Roman" w:cs="Times New Roman"/>
        </w:rPr>
        <w:t xml:space="preserve">, </w:t>
      </w:r>
      <w:r w:rsidRPr="005163F9">
        <w:rPr>
          <w:rFonts w:ascii="Times New Roman" w:hAnsi="Times New Roman" w:cs="Times New Roman"/>
          <w:i/>
          <w:iCs/>
        </w:rPr>
        <w:t>126</w:t>
      </w:r>
      <w:r w:rsidRPr="005163F9">
        <w:rPr>
          <w:rFonts w:ascii="Times New Roman" w:hAnsi="Times New Roman" w:cs="Times New Roman"/>
        </w:rPr>
        <w:t>(6), 067007. https://doi.org/10.1289/EHP2877</w:t>
      </w:r>
    </w:p>
    <w:p w14:paraId="536F8E22"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Mason, R., Tennekes, H., Sánchez-Bayo, F., &amp; Jepsen, P. U. (2013). Immune suppression by neonicotinoid insecticides at the root of global wildlife declines. </w:t>
      </w:r>
      <w:r w:rsidRPr="005163F9">
        <w:rPr>
          <w:rFonts w:ascii="Times New Roman" w:hAnsi="Times New Roman" w:cs="Times New Roman"/>
          <w:i/>
          <w:iCs/>
        </w:rPr>
        <w:t>Journal of Enviromental Immunology and Toxicology</w:t>
      </w:r>
      <w:r w:rsidRPr="005163F9">
        <w:rPr>
          <w:rFonts w:ascii="Times New Roman" w:hAnsi="Times New Roman" w:cs="Times New Roman"/>
        </w:rPr>
        <w:t xml:space="preserve">, </w:t>
      </w:r>
      <w:r w:rsidRPr="005163F9">
        <w:rPr>
          <w:rFonts w:ascii="Times New Roman" w:hAnsi="Times New Roman" w:cs="Times New Roman"/>
          <w:i/>
          <w:iCs/>
        </w:rPr>
        <w:t>1</w:t>
      </w:r>
      <w:r w:rsidRPr="005163F9">
        <w:rPr>
          <w:rFonts w:ascii="Times New Roman" w:hAnsi="Times New Roman" w:cs="Times New Roman"/>
        </w:rPr>
        <w:t>(1), 3. https://doi.org/10.7178/jeit.1</w:t>
      </w:r>
    </w:p>
    <w:p w14:paraId="79AC8B8F"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lastRenderedPageBreak/>
        <w:t xml:space="preserve">Maxwell, S. L., Fuller, R. A., Brooks, T. M., &amp; Watson, J. E. M. (2016). Biodiversity: The ravages of guns, nets and bulldozers. </w:t>
      </w:r>
      <w:r w:rsidRPr="005163F9">
        <w:rPr>
          <w:rFonts w:ascii="Times New Roman" w:hAnsi="Times New Roman" w:cs="Times New Roman"/>
          <w:i/>
          <w:iCs/>
        </w:rPr>
        <w:t>Nature News</w:t>
      </w:r>
      <w:r w:rsidRPr="005163F9">
        <w:rPr>
          <w:rFonts w:ascii="Times New Roman" w:hAnsi="Times New Roman" w:cs="Times New Roman"/>
        </w:rPr>
        <w:t xml:space="preserve">, </w:t>
      </w:r>
      <w:r w:rsidRPr="005163F9">
        <w:rPr>
          <w:rFonts w:ascii="Times New Roman" w:hAnsi="Times New Roman" w:cs="Times New Roman"/>
          <w:i/>
          <w:iCs/>
        </w:rPr>
        <w:t>536</w:t>
      </w:r>
      <w:r w:rsidRPr="005163F9">
        <w:rPr>
          <w:rFonts w:ascii="Times New Roman" w:hAnsi="Times New Roman" w:cs="Times New Roman"/>
        </w:rPr>
        <w:t>(7615), 143. https://doi.org/10.1038/536143a</w:t>
      </w:r>
    </w:p>
    <w:p w14:paraId="6B72EBA7"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Mohajeri, M. H., La Fata, G., Steinert, R. E., &amp; Weber, P. (2018). Relationship between the gut microbiome and brain function. </w:t>
      </w:r>
      <w:r w:rsidRPr="005163F9">
        <w:rPr>
          <w:rFonts w:ascii="Times New Roman" w:hAnsi="Times New Roman" w:cs="Times New Roman"/>
          <w:i/>
          <w:iCs/>
        </w:rPr>
        <w:t>Nutrition Reviews</w:t>
      </w:r>
      <w:r w:rsidRPr="005163F9">
        <w:rPr>
          <w:rFonts w:ascii="Times New Roman" w:hAnsi="Times New Roman" w:cs="Times New Roman"/>
        </w:rPr>
        <w:t xml:space="preserve">, </w:t>
      </w:r>
      <w:r w:rsidRPr="005163F9">
        <w:rPr>
          <w:rFonts w:ascii="Times New Roman" w:hAnsi="Times New Roman" w:cs="Times New Roman"/>
          <w:i/>
          <w:iCs/>
        </w:rPr>
        <w:t>76</w:t>
      </w:r>
      <w:r w:rsidRPr="005163F9">
        <w:rPr>
          <w:rFonts w:ascii="Times New Roman" w:hAnsi="Times New Roman" w:cs="Times New Roman"/>
        </w:rPr>
        <w:t>(7), 481–496. https://doi.org/10.1093/nutrit/nuy009</w:t>
      </w:r>
    </w:p>
    <w:p w14:paraId="32C74581"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Rosenberg, E., &amp; Zilber-Rosenberg, I. (2018). The hologenome concept of evolution after 10 years. </w:t>
      </w:r>
      <w:r w:rsidRPr="005163F9">
        <w:rPr>
          <w:rFonts w:ascii="Times New Roman" w:hAnsi="Times New Roman" w:cs="Times New Roman"/>
          <w:i/>
          <w:iCs/>
        </w:rPr>
        <w:t>Microbiome</w:t>
      </w:r>
      <w:r w:rsidRPr="005163F9">
        <w:rPr>
          <w:rFonts w:ascii="Times New Roman" w:hAnsi="Times New Roman" w:cs="Times New Roman"/>
        </w:rPr>
        <w:t xml:space="preserve">, </w:t>
      </w:r>
      <w:r w:rsidRPr="005163F9">
        <w:rPr>
          <w:rFonts w:ascii="Times New Roman" w:hAnsi="Times New Roman" w:cs="Times New Roman"/>
          <w:i/>
          <w:iCs/>
        </w:rPr>
        <w:t>6</w:t>
      </w:r>
      <w:r w:rsidRPr="005163F9">
        <w:rPr>
          <w:rFonts w:ascii="Times New Roman" w:hAnsi="Times New Roman" w:cs="Times New Roman"/>
        </w:rPr>
        <w:t>(1), 78. https://doi.org/10.1186/s40168-018-0457-9</w:t>
      </w:r>
    </w:p>
    <w:p w14:paraId="21C225A1"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Rosenberg, K. V., Dokter, A. M., Blancher, P. J., Sauer, J. R., Smith, A. C., Smith, P. A., Stanton, J. C., Panjabi, A., Helft, L., Parr, M., &amp; Marra, P. P. (2019). Decline of the North American avifauna. </w:t>
      </w:r>
      <w:r w:rsidRPr="005163F9">
        <w:rPr>
          <w:rFonts w:ascii="Times New Roman" w:hAnsi="Times New Roman" w:cs="Times New Roman"/>
          <w:i/>
          <w:iCs/>
        </w:rPr>
        <w:t>Science</w:t>
      </w:r>
      <w:r w:rsidRPr="005163F9">
        <w:rPr>
          <w:rFonts w:ascii="Times New Roman" w:hAnsi="Times New Roman" w:cs="Times New Roman"/>
        </w:rPr>
        <w:t xml:space="preserve">, </w:t>
      </w:r>
      <w:r w:rsidRPr="005163F9">
        <w:rPr>
          <w:rFonts w:ascii="Times New Roman" w:hAnsi="Times New Roman" w:cs="Times New Roman"/>
          <w:i/>
          <w:iCs/>
        </w:rPr>
        <w:t>366</w:t>
      </w:r>
      <w:r w:rsidRPr="005163F9">
        <w:rPr>
          <w:rFonts w:ascii="Times New Roman" w:hAnsi="Times New Roman" w:cs="Times New Roman"/>
        </w:rPr>
        <w:t>(6461), 120–124. https://doi.org/10.1126/science.aaw1313</w:t>
      </w:r>
    </w:p>
    <w:p w14:paraId="302A5B12"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Rosenfeld, C. S. (2017). Gut dysbiosis in animals due to environmental chemical exposures. </w:t>
      </w:r>
      <w:r w:rsidRPr="005163F9">
        <w:rPr>
          <w:rFonts w:ascii="Times New Roman" w:hAnsi="Times New Roman" w:cs="Times New Roman"/>
          <w:i/>
          <w:iCs/>
        </w:rPr>
        <w:t>Frontiers in Cellular and Infection Microbiology</w:t>
      </w:r>
      <w:r w:rsidRPr="005163F9">
        <w:rPr>
          <w:rFonts w:ascii="Times New Roman" w:hAnsi="Times New Roman" w:cs="Times New Roman"/>
        </w:rPr>
        <w:t xml:space="preserve">, </w:t>
      </w:r>
      <w:r w:rsidRPr="005163F9">
        <w:rPr>
          <w:rFonts w:ascii="Times New Roman" w:hAnsi="Times New Roman" w:cs="Times New Roman"/>
          <w:i/>
          <w:iCs/>
        </w:rPr>
        <w:t>7</w:t>
      </w:r>
      <w:r w:rsidRPr="005163F9">
        <w:rPr>
          <w:rFonts w:ascii="Times New Roman" w:hAnsi="Times New Roman" w:cs="Times New Roman"/>
        </w:rPr>
        <w:t>. https://doi.org/10.3389/fcimb.2017.00396</w:t>
      </w:r>
    </w:p>
    <w:p w14:paraId="63F48340"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Stanton, R. L., Morrissey, C. A., &amp; Clark, R. G. (2018). Analysis of trends and agricultural drivers of farmland bird declines in North America: A review. </w:t>
      </w:r>
      <w:r w:rsidRPr="005163F9">
        <w:rPr>
          <w:rFonts w:ascii="Times New Roman" w:hAnsi="Times New Roman" w:cs="Times New Roman"/>
          <w:i/>
          <w:iCs/>
        </w:rPr>
        <w:t>Agriculture, Ecosystems &amp; Environment</w:t>
      </w:r>
      <w:r w:rsidRPr="005163F9">
        <w:rPr>
          <w:rFonts w:ascii="Times New Roman" w:hAnsi="Times New Roman" w:cs="Times New Roman"/>
        </w:rPr>
        <w:t xml:space="preserve">, </w:t>
      </w:r>
      <w:r w:rsidRPr="005163F9">
        <w:rPr>
          <w:rFonts w:ascii="Times New Roman" w:hAnsi="Times New Roman" w:cs="Times New Roman"/>
          <w:i/>
          <w:iCs/>
        </w:rPr>
        <w:t>254</w:t>
      </w:r>
      <w:r w:rsidRPr="005163F9">
        <w:rPr>
          <w:rFonts w:ascii="Times New Roman" w:hAnsi="Times New Roman" w:cs="Times New Roman"/>
        </w:rPr>
        <w:t>, 244–254. https://doi.org/10.1016/j.agee.2017.11.028</w:t>
      </w:r>
    </w:p>
    <w:p w14:paraId="365C138E"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Stecher, B., Maier, L., &amp; Hardt, W.-D. (2013). “Blooming” in the gut: How dysbiosis might contribute to pathogen evolution. </w:t>
      </w:r>
      <w:r w:rsidRPr="005163F9">
        <w:rPr>
          <w:rFonts w:ascii="Times New Roman" w:hAnsi="Times New Roman" w:cs="Times New Roman"/>
          <w:i/>
          <w:iCs/>
        </w:rPr>
        <w:t>Nature Reviews Microbiology</w:t>
      </w:r>
      <w:r w:rsidRPr="005163F9">
        <w:rPr>
          <w:rFonts w:ascii="Times New Roman" w:hAnsi="Times New Roman" w:cs="Times New Roman"/>
        </w:rPr>
        <w:t xml:space="preserve">, </w:t>
      </w:r>
      <w:r w:rsidRPr="005163F9">
        <w:rPr>
          <w:rFonts w:ascii="Times New Roman" w:hAnsi="Times New Roman" w:cs="Times New Roman"/>
          <w:i/>
          <w:iCs/>
        </w:rPr>
        <w:t>11</w:t>
      </w:r>
      <w:r w:rsidRPr="005163F9">
        <w:rPr>
          <w:rFonts w:ascii="Times New Roman" w:hAnsi="Times New Roman" w:cs="Times New Roman"/>
        </w:rPr>
        <w:t>(4), 277–284. https://doi.org/10.1038/nrmicro2989</w:t>
      </w:r>
    </w:p>
    <w:p w14:paraId="0566F83F"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van der Sluijs, J. P., Amaral-Rogers, V., Belzunces, L. P., Bijleveld van Lexmond, M. F. I. J., Bonmatin, J.-M., Chagnon, M., Downs, C. A., Furlan, L., Gibbons, D. W., Giorio, C., Girolami, V., Goulson, D., Kreutzweiser, D. P., Krupke, C., Liess, M., Long, E., McField, M., Mineau, P., Mitchell, E. A. D., … Wiemers, M. (2015). Conclusions of the worldwide integrated assessment on the risks of neonicotinoids and fipronil to biodiversity and ecosystem functioning. </w:t>
      </w:r>
      <w:r w:rsidRPr="005163F9">
        <w:rPr>
          <w:rFonts w:ascii="Times New Roman" w:hAnsi="Times New Roman" w:cs="Times New Roman"/>
          <w:i/>
          <w:iCs/>
        </w:rPr>
        <w:t>Environmental Science and Pollution Research</w:t>
      </w:r>
      <w:r w:rsidRPr="005163F9">
        <w:rPr>
          <w:rFonts w:ascii="Times New Roman" w:hAnsi="Times New Roman" w:cs="Times New Roman"/>
        </w:rPr>
        <w:t xml:space="preserve">, </w:t>
      </w:r>
      <w:r w:rsidRPr="005163F9">
        <w:rPr>
          <w:rFonts w:ascii="Times New Roman" w:hAnsi="Times New Roman" w:cs="Times New Roman"/>
          <w:i/>
          <w:iCs/>
        </w:rPr>
        <w:t>22</w:t>
      </w:r>
      <w:r w:rsidRPr="005163F9">
        <w:rPr>
          <w:rFonts w:ascii="Times New Roman" w:hAnsi="Times New Roman" w:cs="Times New Roman"/>
        </w:rPr>
        <w:t>(1), 148–154. https://doi.org/10.1007/s11356-014-3229-5</w:t>
      </w:r>
    </w:p>
    <w:p w14:paraId="5A4E2B34" w14:textId="77777777" w:rsidR="007F1D0D" w:rsidRPr="005163F9" w:rsidRDefault="007F1D0D" w:rsidP="005163F9">
      <w:pPr>
        <w:pStyle w:val="Bibliography"/>
        <w:spacing w:line="240" w:lineRule="auto"/>
        <w:rPr>
          <w:rFonts w:ascii="Times New Roman" w:hAnsi="Times New Roman" w:cs="Times New Roman"/>
        </w:rPr>
      </w:pPr>
      <w:r w:rsidRPr="005163F9">
        <w:rPr>
          <w:rFonts w:ascii="Times New Roman" w:hAnsi="Times New Roman" w:cs="Times New Roman"/>
        </w:rPr>
        <w:t xml:space="preserve">Yuan, X., Pan, Z., Jin, C., Ni, Y., Fu, Z., &amp; Jin, Y. (2019). Gut microbiota: An underestimated and unintended recipient for pesticide-induced toxicity. </w:t>
      </w:r>
      <w:r w:rsidRPr="005163F9">
        <w:rPr>
          <w:rFonts w:ascii="Times New Roman" w:hAnsi="Times New Roman" w:cs="Times New Roman"/>
          <w:i/>
          <w:iCs/>
        </w:rPr>
        <w:t>Chemosphere</w:t>
      </w:r>
      <w:r w:rsidRPr="005163F9">
        <w:rPr>
          <w:rFonts w:ascii="Times New Roman" w:hAnsi="Times New Roman" w:cs="Times New Roman"/>
        </w:rPr>
        <w:t xml:space="preserve">, </w:t>
      </w:r>
      <w:r w:rsidRPr="005163F9">
        <w:rPr>
          <w:rFonts w:ascii="Times New Roman" w:hAnsi="Times New Roman" w:cs="Times New Roman"/>
          <w:i/>
          <w:iCs/>
        </w:rPr>
        <w:t>227</w:t>
      </w:r>
      <w:r w:rsidRPr="005163F9">
        <w:rPr>
          <w:rFonts w:ascii="Times New Roman" w:hAnsi="Times New Roman" w:cs="Times New Roman"/>
        </w:rPr>
        <w:t>, 425–434. https://doi.org/10.1016/j.chemosphere.2019.04.088</w:t>
      </w:r>
    </w:p>
    <w:p w14:paraId="461031A6" w14:textId="624052FB" w:rsidR="00CD2C6C" w:rsidRDefault="007F1D0D" w:rsidP="005163F9">
      <w:pPr>
        <w:pStyle w:val="NormalWeb"/>
        <w:spacing w:before="0" w:beforeAutospacing="0" w:after="0" w:afterAutospacing="0"/>
        <w:ind w:left="480" w:hanging="480"/>
      </w:pPr>
      <w:r w:rsidRPr="005163F9">
        <w:rPr>
          <w:sz w:val="22"/>
          <w:szCs w:val="22"/>
        </w:rPr>
        <w:fldChar w:fldCharType="end"/>
      </w:r>
    </w:p>
    <w:p w14:paraId="6B895183" w14:textId="07A9977F" w:rsidR="00591211" w:rsidRDefault="00FB13D0"/>
    <w:p w14:paraId="77A62475"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Award information</w:t>
      </w:r>
    </w:p>
    <w:p w14:paraId="3BD1967D"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72870828" w14:textId="71674696" w:rsidR="0069198E" w:rsidRPr="0069198E" w:rsidRDefault="0069198E" w:rsidP="0069198E">
      <w:pPr>
        <w:spacing w:after="0" w:line="240" w:lineRule="auto"/>
        <w:contextualSpacing/>
        <w:rPr>
          <w:rFonts w:ascii="Times New Roman" w:eastAsia="Calibri" w:hAnsi="Times New Roman" w:cs="Times New Roman"/>
        </w:rPr>
      </w:pPr>
      <w:r w:rsidRPr="0069198E">
        <w:rPr>
          <w:rFonts w:ascii="Times New Roman" w:eastAsia="Calibri" w:hAnsi="Times New Roman" w:cs="Times New Roman"/>
        </w:rPr>
        <w:t xml:space="preserve">It is anticipated that one award will be made of </w:t>
      </w:r>
      <w:r w:rsidR="00965E8A" w:rsidRPr="00965E8A">
        <w:rPr>
          <w:rFonts w:ascii="Times New Roman" w:eastAsia="Calibri" w:hAnsi="Times New Roman" w:cs="Times New Roman"/>
        </w:rPr>
        <w:t>$</w:t>
      </w:r>
      <w:r w:rsidR="00B40C57">
        <w:rPr>
          <w:rFonts w:ascii="Times New Roman" w:eastAsia="Calibri" w:hAnsi="Times New Roman" w:cs="Times New Roman"/>
        </w:rPr>
        <w:t>24,950</w:t>
      </w:r>
      <w:r w:rsidR="005569D7">
        <w:rPr>
          <w:rFonts w:ascii="Times New Roman" w:eastAsia="Calibri" w:hAnsi="Times New Roman" w:cs="Times New Roman"/>
        </w:rPr>
        <w:t xml:space="preserve"> </w:t>
      </w:r>
      <w:r w:rsidR="004B3593">
        <w:rPr>
          <w:rFonts w:ascii="Times New Roman" w:eastAsia="Calibri" w:hAnsi="Times New Roman" w:cs="Times New Roman"/>
        </w:rPr>
        <w:t>for</w:t>
      </w:r>
      <w:r w:rsidRPr="0069198E">
        <w:rPr>
          <w:rFonts w:ascii="Times New Roman" w:eastAsia="Calibri" w:hAnsi="Times New Roman" w:cs="Times New Roman"/>
        </w:rPr>
        <w:t xml:space="preserve"> </w:t>
      </w:r>
      <w:r w:rsidR="004B3593">
        <w:rPr>
          <w:rFonts w:ascii="Times New Roman" w:eastAsia="Calibri" w:hAnsi="Times New Roman" w:cs="Times New Roman"/>
        </w:rPr>
        <w:t>one</w:t>
      </w:r>
      <w:r w:rsidRPr="0069198E">
        <w:rPr>
          <w:rFonts w:ascii="Times New Roman" w:eastAsia="Calibri" w:hAnsi="Times New Roman" w:cs="Times New Roman"/>
        </w:rPr>
        <w:t xml:space="preserve"> base year</w:t>
      </w:r>
      <w:r w:rsidR="00C50AB8">
        <w:rPr>
          <w:rFonts w:ascii="Times New Roman" w:eastAsia="Calibri" w:hAnsi="Times New Roman" w:cs="Times New Roman"/>
        </w:rPr>
        <w:t xml:space="preserve"> </w:t>
      </w:r>
      <w:r w:rsidR="004B3593">
        <w:rPr>
          <w:rFonts w:ascii="Times New Roman" w:eastAsia="Calibri" w:hAnsi="Times New Roman" w:cs="Times New Roman"/>
        </w:rPr>
        <w:t>and 2 renewal years. F</w:t>
      </w:r>
      <w:r w:rsidR="00C50AB8">
        <w:rPr>
          <w:rFonts w:ascii="Times New Roman" w:eastAsia="Calibri" w:hAnsi="Times New Roman" w:cs="Times New Roman"/>
        </w:rPr>
        <w:t>unding</w:t>
      </w:r>
      <w:r w:rsidRPr="0069198E">
        <w:rPr>
          <w:rFonts w:ascii="Times New Roman" w:eastAsia="Calibri" w:hAnsi="Times New Roman" w:cs="Times New Roman"/>
        </w:rPr>
        <w:t xml:space="preserve"> </w:t>
      </w:r>
      <w:r w:rsidR="004B3593">
        <w:rPr>
          <w:rFonts w:ascii="Times New Roman" w:eastAsia="Calibri" w:hAnsi="Times New Roman" w:cs="Times New Roman"/>
        </w:rPr>
        <w:t xml:space="preserve">in the amount of $24,950 is </w:t>
      </w:r>
      <w:r w:rsidRPr="0069198E">
        <w:rPr>
          <w:rFonts w:ascii="Times New Roman" w:eastAsia="Calibri" w:hAnsi="Times New Roman" w:cs="Times New Roman"/>
        </w:rPr>
        <w:t xml:space="preserve">available for FY </w:t>
      </w:r>
      <w:r w:rsidR="00CA407A">
        <w:rPr>
          <w:rFonts w:ascii="Times New Roman" w:eastAsia="Calibri" w:hAnsi="Times New Roman" w:cs="Times New Roman"/>
        </w:rPr>
        <w:t>202</w:t>
      </w:r>
      <w:r w:rsidR="004B3593">
        <w:rPr>
          <w:rFonts w:ascii="Times New Roman" w:eastAsia="Calibri" w:hAnsi="Times New Roman" w:cs="Times New Roman"/>
        </w:rPr>
        <w:t>4</w:t>
      </w:r>
      <w:r w:rsidRPr="0069198E">
        <w:rPr>
          <w:rFonts w:ascii="Times New Roman" w:eastAsia="Calibri" w:hAnsi="Times New Roman" w:cs="Times New Roman"/>
        </w:rPr>
        <w:t xml:space="preserve">. Additional funding will be based upon satisfactory progress and the availability of funding. </w:t>
      </w:r>
    </w:p>
    <w:p w14:paraId="5723B274"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0F81FD96"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Eligibility Information</w:t>
      </w:r>
    </w:p>
    <w:p w14:paraId="08EA171F" w14:textId="77777777" w:rsidR="0069198E" w:rsidRPr="0069198E" w:rsidRDefault="0069198E" w:rsidP="0069198E">
      <w:pPr>
        <w:spacing w:after="0" w:line="240" w:lineRule="auto"/>
        <w:rPr>
          <w:rFonts w:ascii="Times New Roman" w:eastAsia="Times New Roman" w:hAnsi="Times New Roman" w:cs="Times New Roman"/>
          <w:b/>
        </w:rPr>
      </w:pPr>
    </w:p>
    <w:p w14:paraId="1785B982" w14:textId="7B1B5E5C" w:rsidR="0069198E" w:rsidRPr="0069198E" w:rsidRDefault="0069198E" w:rsidP="0069198E">
      <w:pPr>
        <w:spacing w:after="0" w:line="240" w:lineRule="auto"/>
        <w:rPr>
          <w:rFonts w:ascii="Times New Roman" w:eastAsia="Times New Roman" w:hAnsi="Times New Roman" w:cs="Times New Roman"/>
        </w:rPr>
      </w:pPr>
      <w:r w:rsidRPr="0069198E">
        <w:rPr>
          <w:rFonts w:ascii="Times New Roman" w:eastAsia="Times New Roman" w:hAnsi="Times New Roman" w:cs="Times New Roman"/>
        </w:rPr>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4720F6">
        <w:rPr>
          <w:rFonts w:ascii="Times New Roman" w:eastAsia="Times New Roman" w:hAnsi="Times New Roman" w:cs="Times New Roman"/>
        </w:rPr>
        <w:t>a</w:t>
      </w:r>
      <w:r w:rsidR="00C50AB8">
        <w:rPr>
          <w:rFonts w:ascii="Times New Roman" w:eastAsia="Times New Roman" w:hAnsi="Times New Roman" w:cs="Times New Roman"/>
        </w:rPr>
        <w:t xml:space="preserve"> </w:t>
      </w:r>
      <w:r w:rsidR="004B3593">
        <w:rPr>
          <w:rFonts w:ascii="Times New Roman" w:eastAsia="Times New Roman" w:hAnsi="Times New Roman" w:cs="Times New Roman"/>
        </w:rPr>
        <w:t>Gulf</w:t>
      </w:r>
      <w:r w:rsidR="00C50AB8">
        <w:rPr>
          <w:rFonts w:ascii="Times New Roman" w:eastAsia="Times New Roman" w:hAnsi="Times New Roman" w:cs="Times New Roman"/>
        </w:rPr>
        <w:t xml:space="preserve"> Coast</w:t>
      </w:r>
      <w:r w:rsidR="004720F6">
        <w:rPr>
          <w:rFonts w:ascii="Times New Roman" w:eastAsia="Times New Roman" w:hAnsi="Times New Roman" w:cs="Times New Roman"/>
        </w:rPr>
        <w:t xml:space="preserve"> </w:t>
      </w:r>
      <w:r w:rsidRPr="0069198E">
        <w:rPr>
          <w:rFonts w:ascii="Times New Roman" w:eastAsia="Times New Roman" w:hAnsi="Times New Roman" w:cs="Times New Roman"/>
        </w:rPr>
        <w:t xml:space="preserve">Cooperative Ecosystem Studies Unit (CESU) Program.  </w:t>
      </w:r>
    </w:p>
    <w:p w14:paraId="002A8161" w14:textId="77777777" w:rsidR="0069198E" w:rsidRPr="0069198E" w:rsidRDefault="0069198E" w:rsidP="0069198E">
      <w:pPr>
        <w:spacing w:after="0" w:line="240" w:lineRule="auto"/>
        <w:rPr>
          <w:rFonts w:ascii="Times New Roman" w:eastAsia="Times New Roman" w:hAnsi="Times New Roman" w:cs="Times New Roman"/>
        </w:rPr>
      </w:pPr>
    </w:p>
    <w:p w14:paraId="79B20ED9"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Application and Submission Information</w:t>
      </w:r>
    </w:p>
    <w:p w14:paraId="3EF085E8" w14:textId="77777777" w:rsidR="0069198E" w:rsidRPr="0069198E" w:rsidRDefault="0069198E" w:rsidP="0069198E">
      <w:pPr>
        <w:spacing w:after="0" w:line="240" w:lineRule="auto"/>
        <w:rPr>
          <w:rFonts w:ascii="Times New Roman" w:eastAsia="Times New Roman" w:hAnsi="Times New Roman" w:cs="Times New Roman"/>
          <w:b/>
        </w:rPr>
      </w:pPr>
    </w:p>
    <w:p w14:paraId="2C4DECE0" w14:textId="77777777" w:rsidR="0069198E" w:rsidRPr="0069198E" w:rsidRDefault="0069198E" w:rsidP="0069198E">
      <w:pPr>
        <w:spacing w:after="0" w:line="240" w:lineRule="auto"/>
        <w:rPr>
          <w:rFonts w:ascii="Times New Roman" w:eastAsia="Times New Roman" w:hAnsi="Times New Roman" w:cs="Times New Roman"/>
          <w:sz w:val="24"/>
          <w:szCs w:val="24"/>
        </w:rPr>
      </w:pPr>
      <w:bookmarkStart w:id="1" w:name="_Hlk39754700"/>
      <w:r w:rsidRPr="0069198E">
        <w:rPr>
          <w:rFonts w:ascii="Times New Roman" w:eastAsia="Times New Roman" w:hAnsi="Times New Roman" w:cs="Times New Roman"/>
          <w:sz w:val="24"/>
          <w:szCs w:val="24"/>
        </w:rPr>
        <w:t xml:space="preserve">Apply electronically through grants.gov.  Questions are to be directed to Faith Graves: </w:t>
      </w:r>
      <w:r w:rsidRPr="0069198E">
        <w:rPr>
          <w:rFonts w:ascii="Times New Roman" w:eastAsia="Times New Roman" w:hAnsi="Times New Roman" w:cs="Times New Roman"/>
          <w:sz w:val="24"/>
          <w:szCs w:val="24"/>
        </w:rPr>
        <w:tab/>
        <w:t>fgraves@usgs.gov</w:t>
      </w:r>
    </w:p>
    <w:p w14:paraId="44850DD0" w14:textId="77777777" w:rsidR="0069198E" w:rsidRPr="0069198E"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69198E">
        <w:rPr>
          <w:rFonts w:ascii="Times New Roman" w:eastAsia="Times New Roman" w:hAnsi="Times New Roman" w:cs="Times New Roman"/>
          <w:bCs/>
          <w:i/>
          <w:iCs/>
          <w:sz w:val="24"/>
          <w:szCs w:val="24"/>
        </w:rPr>
        <w:lastRenderedPageBreak/>
        <w:tab/>
        <w:t>Content and Form of Application</w:t>
      </w:r>
      <w:r w:rsidRPr="0069198E">
        <w:rPr>
          <w:rFonts w:ascii="Times New Roman" w:eastAsia="Times New Roman" w:hAnsi="Times New Roman" w:cs="Times New Roman"/>
          <w:b/>
          <w:bCs/>
          <w:i/>
          <w:iCs/>
          <w:sz w:val="24"/>
          <w:szCs w:val="24"/>
        </w:rPr>
        <w:t xml:space="preserve">: </w:t>
      </w:r>
    </w:p>
    <w:p w14:paraId="3F6FC67E"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Recipient’s Name</w:t>
      </w:r>
    </w:p>
    <w:p w14:paraId="3E1EB92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69198E" w:rsidRDefault="0069198E" w:rsidP="0069198E">
      <w:pPr>
        <w:spacing w:before="120" w:after="60" w:line="240" w:lineRule="auto"/>
        <w:rPr>
          <w:rFonts w:ascii="Times New Roman" w:eastAsia="Times New Roman" w:hAnsi="Times New Roman" w:cs="Times New Roman"/>
          <w:i/>
          <w:sz w:val="24"/>
          <w:szCs w:val="24"/>
        </w:rPr>
      </w:pPr>
    </w:p>
    <w:p w14:paraId="5618507C" w14:textId="7DD4930A" w:rsidR="00C50AB8"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 xml:space="preserve">  Proposal Text</w:t>
      </w:r>
      <w:r w:rsidRPr="0069198E">
        <w:rPr>
          <w:rFonts w:ascii="Times New Roman" w:eastAsia="Times New Roman" w:hAnsi="Times New Roman" w:cs="Times New Roman"/>
          <w:sz w:val="24"/>
          <w:szCs w:val="24"/>
        </w:rPr>
        <w:t xml:space="preserve"> </w:t>
      </w:r>
      <w:proofErr w:type="gramStart"/>
      <w:r w:rsidRPr="0069198E">
        <w:rPr>
          <w:rFonts w:ascii="Times New Roman" w:eastAsia="Times New Roman" w:hAnsi="Times New Roman" w:cs="Times New Roman"/>
          <w:sz w:val="24"/>
          <w:szCs w:val="24"/>
        </w:rPr>
        <w:t>-  Please</w:t>
      </w:r>
      <w:proofErr w:type="gramEnd"/>
      <w:r w:rsidRPr="0069198E">
        <w:rPr>
          <w:rFonts w:ascii="Times New Roman" w:eastAsia="Times New Roman" w:hAnsi="Times New Roman" w:cs="Times New Roman"/>
          <w:sz w:val="24"/>
          <w:szCs w:val="24"/>
        </w:rPr>
        <w:t xml:space="preserve"> include the following:</w:t>
      </w:r>
    </w:p>
    <w:p w14:paraId="0C22B851" w14:textId="77777777" w:rsidR="0069198E" w:rsidRPr="0069198E"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a.  </w:t>
      </w:r>
      <w:r w:rsidRPr="0069198E">
        <w:rPr>
          <w:rFonts w:ascii="Times New Roman" w:eastAsia="Times New Roman" w:hAnsi="Times New Roman" w:cs="Times New Roman"/>
          <w:sz w:val="24"/>
          <w:szCs w:val="24"/>
          <w:u w:val="single"/>
        </w:rPr>
        <w:t>Introduction and Statement of Problem</w:t>
      </w:r>
      <w:r w:rsidRPr="0069198E">
        <w:rPr>
          <w:rFonts w:ascii="Times New Roman" w:eastAsia="Times New Roman" w:hAnsi="Times New Roman" w:cs="Times New Roman"/>
          <w:sz w:val="24"/>
          <w:szCs w:val="24"/>
        </w:rPr>
        <w:t xml:space="preserve">.  Give a brief introduction to the research problem.  Provide a brief summary of findings or outcomes of any prior work that has been completed or is ongoing in this </w:t>
      </w:r>
      <w:proofErr w:type="gramStart"/>
      <w:r w:rsidRPr="0069198E">
        <w:rPr>
          <w:rFonts w:ascii="Times New Roman" w:eastAsia="Times New Roman" w:hAnsi="Times New Roman" w:cs="Times New Roman"/>
          <w:sz w:val="24"/>
          <w:szCs w:val="24"/>
        </w:rPr>
        <w:t>area</w:t>
      </w:r>
      <w:proofErr w:type="gramEnd"/>
    </w:p>
    <w:p w14:paraId="2B05B4BF"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Objectives</w:t>
      </w:r>
      <w:r w:rsidRPr="0069198E">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69198E">
        <w:rPr>
          <w:rFonts w:ascii="Times New Roman" w:eastAsia="Times New Roman" w:hAnsi="Times New Roman" w:cs="Times New Roman"/>
          <w:b/>
          <w:bCs/>
          <w:sz w:val="24"/>
          <w:szCs w:val="24"/>
        </w:rPr>
        <w:t xml:space="preserve"> </w:t>
      </w:r>
    </w:p>
    <w:p w14:paraId="14F3DB81"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Methods</w:t>
      </w:r>
      <w:r w:rsidRPr="0069198E">
        <w:rPr>
          <w:rFonts w:ascii="Times New Roman" w:eastAsia="Times New Roman" w:hAnsi="Times New Roman" w:cs="Times New Roman"/>
          <w:sz w:val="24"/>
          <w:szCs w:val="24"/>
        </w:rPr>
        <w:t xml:space="preserve">.  This section should include a </w:t>
      </w:r>
      <w:proofErr w:type="gramStart"/>
      <w:r w:rsidRPr="0069198E">
        <w:rPr>
          <w:rFonts w:ascii="Times New Roman" w:eastAsia="Times New Roman" w:hAnsi="Times New Roman" w:cs="Times New Roman"/>
          <w:sz w:val="24"/>
          <w:szCs w:val="24"/>
        </w:rPr>
        <w:t>fairly detailed</w:t>
      </w:r>
      <w:proofErr w:type="gramEnd"/>
      <w:r w:rsidRPr="0069198E">
        <w:rPr>
          <w:rFonts w:ascii="Times New Roman" w:eastAsia="Times New Roman" w:hAnsi="Times New Roman" w:cs="Times New Roman"/>
          <w:sz w:val="24"/>
          <w:szCs w:val="24"/>
        </w:rPr>
        <w:t xml:space="preserve"> discussion of the work plan and technical approach to both field and laboratory techniques</w:t>
      </w:r>
      <w:r w:rsidRPr="0069198E">
        <w:rPr>
          <w:rFonts w:ascii="Times New Roman" w:eastAsia="Times New Roman" w:hAnsi="Times New Roman" w:cs="Times New Roman"/>
          <w:b/>
          <w:bCs/>
          <w:sz w:val="24"/>
          <w:szCs w:val="24"/>
        </w:rPr>
        <w:t xml:space="preserve">.  </w:t>
      </w:r>
    </w:p>
    <w:p w14:paraId="6A38AEB7"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Planned Products and Dissemination of Research Results</w:t>
      </w:r>
      <w:r w:rsidRPr="0069198E">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198E">
        <w:rPr>
          <w:rFonts w:ascii="Times New Roman" w:eastAsia="Times New Roman" w:hAnsi="Times New Roman" w:cs="Times New Roman"/>
          <w:sz w:val="24"/>
          <w:szCs w:val="24"/>
        </w:rPr>
        <w:t>general public</w:t>
      </w:r>
      <w:proofErr w:type="gramEnd"/>
      <w:r w:rsidRPr="0069198E">
        <w:rPr>
          <w:rFonts w:ascii="Times New Roman" w:eastAsia="Times New Roman" w:hAnsi="Times New Roman" w:cs="Times New Roman"/>
          <w:sz w:val="24"/>
          <w:szCs w:val="24"/>
        </w:rPr>
        <w:t>.  The USGS encourages the Recipient to publish project reports in scientific and technical journals.</w:t>
      </w:r>
    </w:p>
    <w:p w14:paraId="1B938DEE"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References Cited</w:t>
      </w:r>
      <w:r w:rsidRPr="0069198E">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Budget Sheets</w:t>
      </w:r>
      <w:r w:rsidRPr="0069198E">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Salaries and Wages</w:t>
      </w:r>
      <w:r w:rsidRPr="0069198E">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Fringe benefits/labor overhead</w:t>
      </w:r>
      <w:r w:rsidRPr="0069198E">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Field Expenses</w:t>
      </w:r>
      <w:r w:rsidRPr="0069198E">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Lab Analyses</w:t>
      </w:r>
      <w:r w:rsidRPr="0069198E">
        <w:rPr>
          <w:rFonts w:ascii="Times New Roman" w:eastAsia="Times New Roman" w:hAnsi="Times New Roman" w:cs="Times New Roman"/>
          <w:sz w:val="24"/>
          <w:szCs w:val="24"/>
        </w:rPr>
        <w:t>.  Include geochemical analyses, radiocarbon age dating, etc.  Briefly itemize cost of all analytical work (if applicable)</w:t>
      </w:r>
    </w:p>
    <w:p w14:paraId="32B087D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Supplies</w:t>
      </w:r>
      <w:r w:rsidRPr="0069198E">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95740C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f.</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Equipment</w:t>
      </w:r>
      <w:r w:rsidRPr="0069198E">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ADDDE9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g.</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Services or consultants</w:t>
      </w:r>
      <w:r w:rsidRPr="0069198E">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4CB17A15"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h.</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Travel</w:t>
      </w:r>
      <w:r w:rsidRPr="0069198E">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198E">
        <w:rPr>
          <w:rFonts w:ascii="Times New Roman" w:eastAsia="Times New Roman" w:hAnsi="Times New Roman" w:cs="Times New Roman"/>
          <w:sz w:val="24"/>
          <w:szCs w:val="24"/>
        </w:rPr>
        <w:t>vehicle</w:t>
      </w:r>
      <w:proofErr w:type="gramEnd"/>
      <w:r w:rsidRPr="0069198E">
        <w:rPr>
          <w:rFonts w:ascii="Times New Roman" w:eastAsia="Times New Roman" w:hAnsi="Times New Roman" w:cs="Times New Roman"/>
          <w:sz w:val="24"/>
          <w:szCs w:val="24"/>
        </w:rPr>
        <w:t xml:space="preserve"> rental costs) should also be shown.</w:t>
      </w:r>
    </w:p>
    <w:p w14:paraId="4FA5640D"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t>i</w:t>
      </w:r>
      <w:proofErr w:type="spellEnd"/>
      <w:r w:rsidRPr="0069198E">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Publication costs</w:t>
      </w:r>
      <w:r w:rsidRPr="0069198E">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j.</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Other direct costs</w:t>
      </w:r>
      <w:r w:rsidRPr="0069198E">
        <w:rPr>
          <w:rFonts w:ascii="Times New Roman" w:eastAsia="Times New Roman" w:hAnsi="Times New Roman" w:cs="Times New Roman"/>
          <w:sz w:val="24"/>
          <w:szCs w:val="24"/>
        </w:rPr>
        <w:t xml:space="preserve">.  Itemize the different types of costs not included </w:t>
      </w:r>
      <w:proofErr w:type="gramStart"/>
      <w:r w:rsidRPr="0069198E">
        <w:rPr>
          <w:rFonts w:ascii="Times New Roman" w:eastAsia="Times New Roman" w:hAnsi="Times New Roman" w:cs="Times New Roman"/>
          <w:sz w:val="24"/>
          <w:szCs w:val="24"/>
        </w:rPr>
        <w:t>elsewhere;</w:t>
      </w:r>
      <w:proofErr w:type="gramEnd"/>
      <w:r w:rsidRPr="0069198E">
        <w:rPr>
          <w:rFonts w:ascii="Times New Roman" w:eastAsia="Times New Roman" w:hAnsi="Times New Roman" w:cs="Times New Roman"/>
          <w:sz w:val="24"/>
          <w:szCs w:val="24"/>
        </w:rPr>
        <w:t xml:space="preserve"> such as, shipping, computing, equipment-use charges, or other services.</w:t>
      </w:r>
    </w:p>
    <w:p w14:paraId="6085B0F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k.</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Total Direct Charges</w:t>
      </w:r>
      <w:r w:rsidRPr="0069198E">
        <w:rPr>
          <w:rFonts w:ascii="Times New Roman" w:eastAsia="Times New Roman" w:hAnsi="Times New Roman" w:cs="Times New Roman"/>
          <w:sz w:val="24"/>
          <w:szCs w:val="24"/>
        </w:rPr>
        <w:t>.  Totals for items a - j.</w:t>
      </w:r>
    </w:p>
    <w:p w14:paraId="03E3453C"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69198E">
        <w:rPr>
          <w:rFonts w:ascii="Times New Roman" w:eastAsia="Times New Roman" w:hAnsi="Times New Roman" w:cs="Times New Roman"/>
          <w:sz w:val="24"/>
          <w:szCs w:val="24"/>
        </w:rPr>
        <w:t>l.</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Indirect Charges (Overhead)</w:t>
      </w:r>
      <w:r w:rsidRPr="0069198E">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198E">
        <w:rPr>
          <w:rFonts w:ascii="Times New Roman" w:eastAsia="Times New Roman" w:hAnsi="Times New Roman" w:cs="Times New Roman"/>
          <w:b/>
          <w:sz w:val="24"/>
          <w:szCs w:val="24"/>
        </w:rPr>
        <w:t>NOTE:  CESU NEGOTIATED IDC IS 17.5%</w:t>
      </w:r>
    </w:p>
    <w:p w14:paraId="40E3BD2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m.</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Amount proposed</w:t>
      </w:r>
      <w:r w:rsidRPr="0069198E">
        <w:rPr>
          <w:rFonts w:ascii="Times New Roman" w:eastAsia="Times New Roman" w:hAnsi="Times New Roman" w:cs="Times New Roman"/>
          <w:sz w:val="24"/>
          <w:szCs w:val="24"/>
        </w:rPr>
        <w:t>. Total items k and l.</w:t>
      </w:r>
    </w:p>
    <w:p w14:paraId="7BDD51E4" w14:textId="12AB8D26"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            n.  Provide copy </w:t>
      </w:r>
      <w:r w:rsidR="004B3593" w:rsidRPr="0069198E">
        <w:rPr>
          <w:rFonts w:ascii="Times New Roman" w:eastAsia="Times New Roman" w:hAnsi="Times New Roman" w:cs="Times New Roman"/>
          <w:sz w:val="24"/>
          <w:szCs w:val="24"/>
        </w:rPr>
        <w:t>of recipient’s</w:t>
      </w:r>
      <w:r w:rsidRPr="0069198E">
        <w:rPr>
          <w:rFonts w:ascii="Times New Roman" w:eastAsia="Times New Roman" w:hAnsi="Times New Roman" w:cs="Times New Roman"/>
          <w:sz w:val="24"/>
          <w:szCs w:val="24"/>
        </w:rPr>
        <w:t xml:space="preserve"> rate agreement</w:t>
      </w:r>
    </w:p>
    <w:p w14:paraId="749BA34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69198E" w:rsidRDefault="0069198E" w:rsidP="0069198E">
      <w:pPr>
        <w:shd w:val="clear" w:color="auto" w:fill="FFFFFF"/>
        <w:spacing w:after="0" w:line="240" w:lineRule="auto"/>
        <w:rPr>
          <w:rFonts w:ascii="Times New Roman" w:eastAsia="Times New Roman" w:hAnsi="Times New Roman" w:cs="Times New Roman"/>
          <w:b/>
          <w:sz w:val="24"/>
          <w:szCs w:val="24"/>
        </w:rPr>
      </w:pPr>
      <w:r w:rsidRPr="0069198E">
        <w:rPr>
          <w:rFonts w:ascii="Times New Roman" w:eastAsia="Times New Roman" w:hAnsi="Times New Roman" w:cs="Times New Roman"/>
          <w:b/>
          <w:sz w:val="24"/>
          <w:szCs w:val="24"/>
        </w:rPr>
        <w:t>USGS Data Management Plan Requirements</w:t>
      </w:r>
    </w:p>
    <w:p w14:paraId="7679BEB2"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60322AC0"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w:t>
      </w:r>
      <w:r w:rsidR="002C05BA">
        <w:rPr>
          <w:rFonts w:ascii="Times New Roman" w:eastAsia="Times New Roman" w:hAnsi="Times New Roman" w:cs="Times New Roman"/>
          <w:sz w:val="24"/>
          <w:szCs w:val="24"/>
        </w:rPr>
        <w:t xml:space="preserve"> </w:t>
      </w:r>
      <w:r w:rsidRPr="0069198E">
        <w:rPr>
          <w:rFonts w:ascii="Times New Roman" w:eastAsia="Times New Roman" w:hAnsi="Times New Roman" w:cs="Times New Roman"/>
          <w:sz w:val="24"/>
          <w:szCs w:val="24"/>
        </w:rPr>
        <w:t>A valid DMP may include only the statement that no detailed plan is needed (</w:t>
      </w:r>
      <w:proofErr w:type="gramStart"/>
      <w:r w:rsidRPr="0069198E">
        <w:rPr>
          <w:rFonts w:ascii="Times New Roman" w:eastAsia="Times New Roman" w:hAnsi="Times New Roman" w:cs="Times New Roman"/>
          <w:sz w:val="24"/>
          <w:szCs w:val="24"/>
        </w:rPr>
        <w:t>e.g.</w:t>
      </w:r>
      <w:proofErr w:type="gramEnd"/>
      <w:r w:rsidR="00505F7A">
        <w:rPr>
          <w:rFonts w:ascii="Times New Roman" w:eastAsia="Times New Roman" w:hAnsi="Times New Roman" w:cs="Times New Roman"/>
          <w:sz w:val="24"/>
          <w:szCs w:val="24"/>
        </w:rPr>
        <w:t xml:space="preserve"> </w:t>
      </w:r>
      <w:r w:rsidRPr="0069198E">
        <w:rPr>
          <w:rFonts w:ascii="Times New Roman" w:eastAsia="Times New Roman" w:hAnsi="Times New Roman" w:cs="Times New Roman"/>
          <w:sz w:val="24"/>
          <w:szCs w:val="24"/>
        </w:rPr>
        <w:t xml:space="preserve">“No data are expected to be produced from this project”), as long as the statement is accompanied by a clear justification. </w:t>
      </w:r>
      <w:r w:rsidR="00505F7A">
        <w:rPr>
          <w:rFonts w:ascii="Times New Roman" w:eastAsia="Times New Roman" w:hAnsi="Times New Roman" w:cs="Times New Roman"/>
          <w:sz w:val="24"/>
          <w:szCs w:val="24"/>
        </w:rPr>
        <w:t xml:space="preserve"> </w:t>
      </w:r>
      <w:r w:rsidRPr="0069198E">
        <w:rPr>
          <w:rFonts w:ascii="Times New Roman" w:eastAsia="Times New Roman" w:hAnsi="Times New Roman" w:cs="Times New Roman"/>
          <w:sz w:val="24"/>
          <w:szCs w:val="24"/>
        </w:rPr>
        <w:t>This supplementary document may include:</w:t>
      </w:r>
    </w:p>
    <w:p w14:paraId="065790AD"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 xml:space="preserve">the types of data, samples, physical collections, software, curriculum materials, and other materials to be produced in the course of the </w:t>
      </w:r>
      <w:proofErr w:type="gramStart"/>
      <w:r w:rsidRPr="0069198E">
        <w:rPr>
          <w:rFonts w:ascii="Times New Roman" w:eastAsia="Times New Roman" w:hAnsi="Times New Roman" w:cs="Times New Roman"/>
          <w:sz w:val="24"/>
          <w:szCs w:val="24"/>
        </w:rPr>
        <w:t>project;</w:t>
      </w:r>
      <w:proofErr w:type="gramEnd"/>
    </w:p>
    <w:p w14:paraId="43E31279"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69198E">
        <w:rPr>
          <w:rFonts w:ascii="Times New Roman" w:eastAsia="Times New Roman" w:hAnsi="Times New Roman" w:cs="Times New Roman"/>
          <w:sz w:val="24"/>
          <w:szCs w:val="24"/>
        </w:rPr>
        <w:t>);</w:t>
      </w:r>
      <w:proofErr w:type="gramEnd"/>
    </w:p>
    <w:p w14:paraId="79487396"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69198E">
        <w:rPr>
          <w:rFonts w:ascii="Times New Roman" w:eastAsia="Times New Roman" w:hAnsi="Times New Roman" w:cs="Times New Roman"/>
          <w:sz w:val="24"/>
          <w:szCs w:val="24"/>
        </w:rPr>
        <w:t>requirements;</w:t>
      </w:r>
      <w:proofErr w:type="gramEnd"/>
    </w:p>
    <w:p w14:paraId="6B873434"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provisions for re-use, re-distribution, and the production of derivatives; and</w:t>
      </w:r>
    </w:p>
    <w:p w14:paraId="3CEAB2B1"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plans for archiving data, samples, and other research products, and for preservation of free public access to them.</w:t>
      </w:r>
    </w:p>
    <w:p w14:paraId="12D5F743" w14:textId="77777777" w:rsidR="0069198E" w:rsidRPr="0069198E"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Additional guidance on data management plans is available from the USGS Data Management web site here: </w:t>
      </w:r>
      <w:hyperlink r:id="rId10" w:tgtFrame="_blank" w:history="1">
        <w:r w:rsidRPr="0069198E">
          <w:rPr>
            <w:rFonts w:ascii="Times New Roman" w:eastAsia="Times New Roman" w:hAnsi="Times New Roman" w:cs="Times New Roman"/>
            <w:sz w:val="24"/>
            <w:szCs w:val="24"/>
          </w:rPr>
          <w:t>http://www.usgs.gov/datamanagement/plan/dmplans.php</w:t>
        </w:r>
      </w:hyperlink>
    </w:p>
    <w:p w14:paraId="5CEADAB1"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69198E"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373E1ED7" w14:textId="77777777" w:rsidR="0069198E" w:rsidRPr="0069198E" w:rsidRDefault="0069198E" w:rsidP="0069198E">
      <w:pPr>
        <w:spacing w:after="0" w:line="240" w:lineRule="auto"/>
        <w:rPr>
          <w:rFonts w:ascii="Times New Roman" w:eastAsia="Times New Roman" w:hAnsi="Times New Roman" w:cs="Times New Roman"/>
          <w:b/>
          <w:bCs/>
          <w:color w:val="000000"/>
          <w:sz w:val="24"/>
          <w:szCs w:val="24"/>
        </w:rPr>
      </w:pPr>
      <w:r w:rsidRPr="0069198E">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531E5BC"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69198E" w:rsidRDefault="0069198E" w:rsidP="0069198E">
      <w:pPr>
        <w:spacing w:after="0" w:line="240" w:lineRule="auto"/>
        <w:rPr>
          <w:rFonts w:ascii="Times New Roman" w:eastAsia="Calibri" w:hAnsi="Times New Roman" w:cs="Times New Roman"/>
          <w:sz w:val="24"/>
          <w:szCs w:val="24"/>
        </w:rPr>
      </w:pP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7E1EB5C6" w14:textId="77777777" w:rsidR="0069198E" w:rsidRPr="0069198E" w:rsidRDefault="0069198E" w:rsidP="0069198E">
      <w:pPr>
        <w:spacing w:after="0" w:line="240" w:lineRule="auto"/>
        <w:rPr>
          <w:rFonts w:ascii="Times New Roman" w:eastAsia="Times New Roman" w:hAnsi="Times New Roman" w:cs="Times New Roman"/>
        </w:rPr>
      </w:pPr>
    </w:p>
    <w:p w14:paraId="7B307958"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lastRenderedPageBreak/>
        <w:t>Application review information</w:t>
      </w:r>
    </w:p>
    <w:p w14:paraId="0DAC0E19"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69198E" w:rsidRDefault="0069198E" w:rsidP="0069198E">
      <w:pPr>
        <w:spacing w:after="0" w:line="240" w:lineRule="auto"/>
        <w:rPr>
          <w:rFonts w:ascii="Times New Roman" w:eastAsia="Times New Roman" w:hAnsi="Times New Roman" w:cs="Times New Roman"/>
        </w:rPr>
      </w:pPr>
      <w:r w:rsidRPr="0069198E">
        <w:rPr>
          <w:rFonts w:ascii="Times New Roman" w:eastAsia="Times New Roman" w:hAnsi="Times New Roman" w:cs="Times New Roman"/>
          <w:b/>
          <w:bCs/>
        </w:rPr>
        <w:t>Review and Selection Process</w:t>
      </w:r>
      <w:r w:rsidRPr="0069198E">
        <w:rPr>
          <w:rFonts w:ascii="Times New Roman" w:eastAsia="Times New Roman" w:hAnsi="Times New Roman" w:cs="Times New Roman"/>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69198E" w:rsidRDefault="0069198E" w:rsidP="0069198E">
      <w:pPr>
        <w:spacing w:after="0" w:line="240" w:lineRule="auto"/>
        <w:rPr>
          <w:rFonts w:ascii="Times New Roman" w:eastAsia="Times New Roman" w:hAnsi="Times New Roman" w:cs="Times New Roman"/>
        </w:rPr>
      </w:pPr>
    </w:p>
    <w:p w14:paraId="414E40E6"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rPr>
        <w:t>Proposals are reviewed by the U.S. Geological Survey technical personnel. Individual proposals are evaluated and scored. The evaluations and scores will be submitted to the contracting officer for final award</w:t>
      </w:r>
    </w:p>
    <w:p w14:paraId="721C8E2B"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will be evaluated based on the following criteria:</w:t>
      </w:r>
    </w:p>
    <w:p w14:paraId="73217CF3" w14:textId="77777777" w:rsidR="0069198E" w:rsidRPr="0069198E"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Purpose, Objectives, and Relevance: (25 points)</w:t>
      </w:r>
    </w:p>
    <w:p w14:paraId="7088E253" w14:textId="172C02C2"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69198E">
        <w:rPr>
          <w:rFonts w:ascii="Times New Roman" w:eastAsia="Times New Roman" w:hAnsi="Times New Roman" w:cs="Times New Roman"/>
          <w:sz w:val="24"/>
          <w:szCs w:val="24"/>
        </w:rPr>
        <w:t xml:space="preserve">(a)  How well does the proposed research clearly address </w:t>
      </w:r>
      <w:r w:rsidRPr="0069198E">
        <w:rPr>
          <w:rFonts w:ascii="Times New Roman" w:eastAsia="Times New Roman" w:hAnsi="Times New Roman" w:cs="Times New Roman"/>
          <w:color w:val="000000"/>
          <w:sz w:val="24"/>
          <w:szCs w:val="24"/>
        </w:rPr>
        <w:t>synthesizing the risk of</w:t>
      </w:r>
      <w:r w:rsidR="007D0B66">
        <w:rPr>
          <w:rFonts w:ascii="Times New Roman" w:eastAsia="Times New Roman" w:hAnsi="Times New Roman" w:cs="Times New Roman"/>
          <w:color w:val="000000"/>
          <w:sz w:val="24"/>
          <w:szCs w:val="24"/>
        </w:rPr>
        <w:t xml:space="preserve"> tick occurrence and tick-borne disease</w:t>
      </w:r>
      <w:r w:rsidRPr="0069198E">
        <w:rPr>
          <w:rFonts w:ascii="Times New Roman" w:eastAsia="Times New Roman" w:hAnsi="Times New Roman" w:cs="Times New Roman"/>
          <w:color w:val="000000"/>
          <w:sz w:val="24"/>
          <w:szCs w:val="24"/>
        </w:rPr>
        <w:t xml:space="preserve"> in</w:t>
      </w:r>
      <w:r w:rsidR="007D0B66">
        <w:rPr>
          <w:rFonts w:ascii="Times New Roman" w:eastAsia="Times New Roman" w:hAnsi="Times New Roman" w:cs="Times New Roman"/>
          <w:color w:val="000000"/>
          <w:sz w:val="24"/>
          <w:szCs w:val="24"/>
        </w:rPr>
        <w:t xml:space="preserve"> the</w:t>
      </w:r>
      <w:r w:rsidRPr="0069198E">
        <w:rPr>
          <w:rFonts w:ascii="Times New Roman" w:eastAsia="Times New Roman" w:hAnsi="Times New Roman" w:cs="Times New Roman"/>
          <w:color w:val="000000"/>
          <w:sz w:val="24"/>
          <w:szCs w:val="24"/>
        </w:rPr>
        <w:t xml:space="preserve"> </w:t>
      </w:r>
      <w:r w:rsidR="007D0B66">
        <w:rPr>
          <w:rFonts w:ascii="Times New Roman" w:eastAsia="Times New Roman" w:hAnsi="Times New Roman" w:cs="Times New Roman"/>
          <w:color w:val="000000"/>
          <w:sz w:val="24"/>
          <w:szCs w:val="24"/>
        </w:rPr>
        <w:t>northeastern U.S.</w:t>
      </w:r>
      <w:r w:rsidRPr="0069198E">
        <w:rPr>
          <w:rFonts w:ascii="Times New Roman" w:eastAsia="Times New Roman" w:hAnsi="Times New Roman" w:cs="Times New Roman"/>
          <w:color w:val="000000"/>
          <w:sz w:val="24"/>
          <w:szCs w:val="24"/>
        </w:rPr>
        <w:t>to provide tools to decision makers for evaluating and managing risk?</w:t>
      </w:r>
    </w:p>
    <w:p w14:paraId="4E5F8E7A" w14:textId="066DD124"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(b) </w:t>
      </w:r>
      <w:r w:rsidRPr="0069198E">
        <w:rPr>
          <w:rFonts w:ascii="Times New Roman" w:eastAsia="Times New Roman" w:hAnsi="Times New Roman" w:cs="Times New Roman"/>
          <w:sz w:val="24"/>
          <w:szCs w:val="24"/>
        </w:rPr>
        <w:t xml:space="preserve">How well does the proposed research clearly address development of expertise and infrastructure for </w:t>
      </w:r>
      <w:r w:rsidR="007D0B66">
        <w:rPr>
          <w:rFonts w:ascii="Times New Roman" w:eastAsia="Times New Roman" w:hAnsi="Times New Roman" w:cs="Times New Roman"/>
          <w:sz w:val="24"/>
          <w:szCs w:val="24"/>
        </w:rPr>
        <w:t>developing decision support tools</w:t>
      </w:r>
      <w:r w:rsidRPr="0069198E">
        <w:rPr>
          <w:rFonts w:ascii="Times New Roman" w:eastAsia="Times New Roman" w:hAnsi="Times New Roman" w:cs="Times New Roman"/>
          <w:sz w:val="24"/>
          <w:szCs w:val="24"/>
        </w:rPr>
        <w:t xml:space="preserve"> that explore alternative actions and critical uncertainties?</w:t>
      </w:r>
    </w:p>
    <w:p w14:paraId="42E9AFC4"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(c) How well are the objectives defined, measurable, and realistic for the project’s </w:t>
      </w:r>
      <w:r w:rsidRPr="0069198E">
        <w:rPr>
          <w:rFonts w:ascii="Times New Roman" w:eastAsia="Times New Roman" w:hAnsi="Times New Roman" w:cs="Times New Roman"/>
          <w:sz w:val="24"/>
          <w:szCs w:val="24"/>
        </w:rPr>
        <w:tab/>
        <w:t>anticipated timeframe?</w:t>
      </w:r>
    </w:p>
    <w:p w14:paraId="1A08DD0E"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Technical Approach: (25 points)</w:t>
      </w:r>
    </w:p>
    <w:p w14:paraId="0105C5B2" w14:textId="6A62586C"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t>How well does the project summary provide a description of the relationship between partners, tasks, milestones, and goals</w:t>
      </w:r>
      <w:r w:rsidR="004B3593">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 xml:space="preserve"> Are the milestones supported by a schedule that can be accomplished during the period of performance?</w:t>
      </w:r>
    </w:p>
    <w:p w14:paraId="557DEDD8"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applicant demonstrate they can conduct formal estimates and analyses of disease dynamics such as species susceptibility, routes of exposure and transmission, and the probability of host infection?</w:t>
      </w:r>
    </w:p>
    <w:p w14:paraId="5B1A4971"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 How well does the applicant demonstrate they can work with taxa specialists and management agencies to develop causal chains for wildlife species, identify possible control points, estimate spillover risk, and provide decision support tools using accepted models, software, and methodologies?</w:t>
      </w:r>
    </w:p>
    <w:p w14:paraId="1A804E6B" w14:textId="046BB488"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(d) How well does the applicant demonstrate that they can </w:t>
      </w:r>
      <w:r w:rsidR="007D0B66">
        <w:rPr>
          <w:rFonts w:ascii="Times New Roman" w:eastAsia="Times New Roman" w:hAnsi="Times New Roman" w:cs="Times New Roman"/>
          <w:sz w:val="24"/>
          <w:szCs w:val="24"/>
        </w:rPr>
        <w:t>work as part of a complex team of researchers, decision-makers, and other agency partners to develop decision support tools that are useful in a diversity of tick-related disease contexts?</w:t>
      </w: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b/>
          <w:bCs/>
          <w:sz w:val="24"/>
          <w:szCs w:val="24"/>
        </w:rPr>
        <w:t xml:space="preserve"> </w:t>
      </w:r>
    </w:p>
    <w:p w14:paraId="474D1498"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Budget Justification and Clarity: (25 points)</w:t>
      </w:r>
    </w:p>
    <w:p w14:paraId="731BEE1F" w14:textId="11150591"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bookmarkStart w:id="2" w:name="_Hlk80202093"/>
      <w:r w:rsidRPr="0069198E">
        <w:rPr>
          <w:rFonts w:ascii="Times New Roman" w:eastAsia="Times New Roman" w:hAnsi="Times New Roman" w:cs="Times New Roman"/>
          <w:sz w:val="24"/>
          <w:szCs w:val="24"/>
        </w:rPr>
        <w:t>How well does the proposal demonstrate</w:t>
      </w:r>
      <w:bookmarkEnd w:id="2"/>
      <w:r w:rsidRPr="0069198E">
        <w:rPr>
          <w:rFonts w:ascii="Times New Roman" w:eastAsia="Times New Roman" w:hAnsi="Times New Roman" w:cs="Times New Roman"/>
          <w:sz w:val="24"/>
          <w:szCs w:val="24"/>
        </w:rPr>
        <w:t xml:space="preserve"> the staff is sufficient to accomplish proposed goals</w:t>
      </w:r>
      <w:r w:rsidR="004B3593">
        <w:rPr>
          <w:rFonts w:ascii="Times New Roman" w:eastAsia="Times New Roman" w:hAnsi="Times New Roman" w:cs="Times New Roman"/>
          <w:sz w:val="24"/>
          <w:szCs w:val="24"/>
        </w:rPr>
        <w:t>?</w:t>
      </w:r>
    </w:p>
    <w:p w14:paraId="118B127A" w14:textId="3A781655" w:rsid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proposal demonstrate he budget line items are appropriate and reasonable and commensurate with the level of effort needed to accomplish project objectives</w:t>
      </w:r>
      <w:r w:rsidR="004B3593">
        <w:rPr>
          <w:rFonts w:ascii="Times New Roman" w:eastAsia="Times New Roman" w:hAnsi="Times New Roman" w:cs="Times New Roman"/>
          <w:sz w:val="24"/>
          <w:szCs w:val="24"/>
        </w:rPr>
        <w:t>?</w:t>
      </w:r>
    </w:p>
    <w:p w14:paraId="2BFD83DC" w14:textId="37B8659D" w:rsidR="004B3593" w:rsidRDefault="004B3593"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381F17F2" w14:textId="77777777" w:rsidR="004B3593" w:rsidRPr="0069198E" w:rsidRDefault="004B3593"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1F508580" w14:textId="77777777" w:rsidR="0069198E" w:rsidRPr="0069198E"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4B3593"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4B3593">
        <w:rPr>
          <w:rFonts w:ascii="Times New Roman" w:eastAsia="Times New Roman" w:hAnsi="Times New Roman" w:cs="Times New Roman"/>
          <w:b/>
          <w:bCs/>
          <w:sz w:val="24"/>
          <w:szCs w:val="24"/>
        </w:rPr>
        <w:lastRenderedPageBreak/>
        <w:t>Qualifications, Experience, Past Performance: (25 points)</w:t>
      </w:r>
    </w:p>
    <w:p w14:paraId="74EF8E7B" w14:textId="77777777" w:rsidR="0069198E" w:rsidRPr="004B3593" w:rsidRDefault="0069198E" w:rsidP="0069198E">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4B3593">
        <w:rPr>
          <w:rFonts w:ascii="Times New Roman" w:eastAsia="Times New Roman" w:hAnsi="Times New Roman" w:cs="Times New Roman"/>
          <w:color w:val="000000"/>
          <w:sz w:val="24"/>
          <w:szCs w:val="24"/>
        </w:rPr>
        <w:t xml:space="preserve">How well does the applicant demonstrate their expertise in fields of wildlife disease research and management, decision science, and </w:t>
      </w:r>
      <w:proofErr w:type="spellStart"/>
      <w:r w:rsidRPr="004B3593">
        <w:rPr>
          <w:rFonts w:ascii="Times New Roman" w:eastAsia="Times New Roman" w:hAnsi="Times New Roman" w:cs="Times New Roman"/>
          <w:color w:val="000000"/>
          <w:sz w:val="24"/>
          <w:szCs w:val="24"/>
        </w:rPr>
        <w:t>zoonotics</w:t>
      </w:r>
      <w:proofErr w:type="spellEnd"/>
      <w:r w:rsidRPr="004B3593">
        <w:rPr>
          <w:rFonts w:ascii="Times New Roman" w:eastAsia="Times New Roman" w:hAnsi="Times New Roman" w:cs="Times New Roman"/>
          <w:color w:val="000000"/>
          <w:sz w:val="24"/>
          <w:szCs w:val="24"/>
        </w:rPr>
        <w:t>?</w:t>
      </w:r>
    </w:p>
    <w:p w14:paraId="2539F7DA" w14:textId="77777777" w:rsidR="0069198E" w:rsidRPr="004B3593" w:rsidRDefault="0069198E" w:rsidP="0069198E">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4B3593">
        <w:rPr>
          <w:rFonts w:ascii="Times New Roman" w:eastAsia="Times New Roman" w:hAnsi="Times New Roman" w:cs="Times New Roman"/>
          <w:color w:val="000000"/>
          <w:sz w:val="24"/>
          <w:szCs w:val="24"/>
        </w:rPr>
        <w:t>(b) What is their depth of experience in such research as demonstrated by scientific publications and completed projects in the research area?</w:t>
      </w:r>
    </w:p>
    <w:p w14:paraId="3BE620B7" w14:textId="77777777" w:rsidR="0069198E" w:rsidRPr="004B359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(c)</w:t>
      </w:r>
      <w:r w:rsidRPr="004B3593">
        <w:rPr>
          <w:rFonts w:ascii="Times New Roman" w:eastAsia="Times New Roman" w:hAnsi="Times New Roman" w:cs="Times New Roman"/>
          <w:sz w:val="24"/>
          <w:szCs w:val="24"/>
        </w:rPr>
        <w:tab/>
        <w:t>How does the applicant demonstrate capability to complete the proposed project?</w:t>
      </w:r>
    </w:p>
    <w:p w14:paraId="0681E101" w14:textId="77777777" w:rsidR="0069198E" w:rsidRPr="004B359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(d)</w:t>
      </w:r>
      <w:r w:rsidRPr="004B3593">
        <w:rPr>
          <w:rFonts w:ascii="Times New Roman" w:eastAsia="Times New Roman" w:hAnsi="Times New Roman" w:cs="Times New Roman"/>
          <w:sz w:val="24"/>
          <w:szCs w:val="24"/>
        </w:rPr>
        <w:tab/>
        <w:t>How does the applicant demonstrate they have applied these methods to other species or wildlife diseases?</w:t>
      </w:r>
    </w:p>
    <w:p w14:paraId="3FA192A5" w14:textId="2C83E381" w:rsidR="0069198E" w:rsidRPr="004B3593"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(e)</w:t>
      </w:r>
      <w:r w:rsidRPr="004B3593">
        <w:rPr>
          <w:rFonts w:ascii="Times New Roman" w:eastAsia="Times New Roman" w:hAnsi="Times New Roman" w:cs="Times New Roman"/>
          <w:sz w:val="24"/>
          <w:szCs w:val="24"/>
        </w:rPr>
        <w:tab/>
        <w:t xml:space="preserve">How well does the applicant’s past and current assistance demonstrate they have completed project goals associated with approaches for conducting studies on </w:t>
      </w:r>
      <w:r w:rsidR="007D0B66" w:rsidRPr="004B3593">
        <w:rPr>
          <w:rFonts w:ascii="Times New Roman" w:eastAsia="Times New Roman" w:hAnsi="Times New Roman" w:cs="Times New Roman"/>
          <w:sz w:val="24"/>
          <w:szCs w:val="24"/>
        </w:rPr>
        <w:t xml:space="preserve">tick-borne </w:t>
      </w:r>
      <w:r w:rsidRPr="004B3593">
        <w:rPr>
          <w:rFonts w:ascii="Times New Roman" w:eastAsia="Times New Roman" w:hAnsi="Times New Roman" w:cs="Times New Roman"/>
          <w:sz w:val="24"/>
          <w:szCs w:val="24"/>
        </w:rPr>
        <w:t>diseases and applying principles of decision science to accomplish management goals?</w:t>
      </w:r>
    </w:p>
    <w:p w14:paraId="34838F05" w14:textId="77777777" w:rsidR="0069198E" w:rsidRPr="0069198E" w:rsidRDefault="0069198E" w:rsidP="0069198E">
      <w:pPr>
        <w:spacing w:before="120" w:after="120" w:line="240" w:lineRule="auto"/>
        <w:rPr>
          <w:rFonts w:ascii="Times" w:eastAsia="Times" w:hAnsi="Times" w:cs="Times New Roman"/>
          <w:sz w:val="24"/>
          <w:szCs w:val="20"/>
          <w:lang w:eastAsia="x-none"/>
        </w:rPr>
      </w:pPr>
    </w:p>
    <w:p w14:paraId="36128CCE" w14:textId="77777777" w:rsidR="0069198E" w:rsidRPr="0069198E" w:rsidRDefault="0069198E" w:rsidP="0069198E">
      <w:pPr>
        <w:spacing w:before="120" w:after="120" w:line="240" w:lineRule="auto"/>
        <w:rPr>
          <w:rFonts w:ascii="Times New Roman" w:eastAsia="Times New Roman" w:hAnsi="Times New Roman" w:cs="Times New Roman"/>
          <w:sz w:val="24"/>
          <w:szCs w:val="20"/>
          <w:lang w:eastAsia="x-none"/>
        </w:rPr>
      </w:pPr>
      <w:r w:rsidRPr="0069198E">
        <w:rPr>
          <w:rFonts w:ascii="Times New Roman" w:eastAsia="Times" w:hAnsi="Times New Roman" w:cs="Times New Roman"/>
          <w:b/>
          <w:kern w:val="32"/>
          <w:sz w:val="24"/>
          <w:szCs w:val="20"/>
          <w:lang w:val="x-none" w:eastAsia="x-none"/>
        </w:rPr>
        <w:t>Award Administration Information</w:t>
      </w:r>
      <w:r w:rsidRPr="0069198E">
        <w:rPr>
          <w:rFonts w:ascii="Times New Roman" w:eastAsia="Times New Roman" w:hAnsi="Times New Roman" w:cs="Times New Roman"/>
          <w:sz w:val="24"/>
          <w:szCs w:val="20"/>
          <w:lang w:val="x-none" w:eastAsia="x-none"/>
        </w:rPr>
        <w:t xml:space="preserve"> </w:t>
      </w:r>
      <w:bookmarkStart w:id="3" w:name="OLE_LINK1"/>
      <w:bookmarkStart w:id="4" w:name="OLE_LINK2"/>
      <w:bookmarkStart w:id="5" w:name="OLE_LINK3"/>
    </w:p>
    <w:p w14:paraId="0AE91D55" w14:textId="77777777" w:rsidR="004B3593" w:rsidRPr="004B3593" w:rsidRDefault="004B3593" w:rsidP="004B3593">
      <w:pPr>
        <w:spacing w:before="120" w:after="60" w:line="240" w:lineRule="auto"/>
        <w:rPr>
          <w:rFonts w:ascii="Times New Roman" w:eastAsia="Times New Roman" w:hAnsi="Times New Roman" w:cs="Times New Roman"/>
          <w:sz w:val="24"/>
          <w:szCs w:val="24"/>
        </w:rPr>
      </w:pPr>
      <w:bookmarkStart w:id="6" w:name="_Hlk109193892"/>
      <w:bookmarkEnd w:id="3"/>
      <w:bookmarkEnd w:id="4"/>
      <w:bookmarkEnd w:id="5"/>
      <w:r w:rsidRPr="004B3593">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4B3593">
        <w:rPr>
          <w:rFonts w:ascii="Times New Roman" w:eastAsia="Times New Roman" w:hAnsi="Times New Roman" w:cs="Times New Roman"/>
          <w:sz w:val="24"/>
          <w:szCs w:val="24"/>
        </w:rPr>
        <w:t>function</w:t>
      </w:r>
      <w:proofErr w:type="gramEnd"/>
      <w:r w:rsidRPr="004B3593">
        <w:rPr>
          <w:rFonts w:ascii="Times New Roman" w:eastAsia="Times New Roman" w:hAnsi="Times New Roman" w:cs="Times New Roman"/>
          <w:sz w:val="24"/>
          <w:szCs w:val="24"/>
        </w:rPr>
        <w:t xml:space="preserve"> or activity.</w:t>
      </w:r>
    </w:p>
    <w:p w14:paraId="2C16EFB1" w14:textId="77777777" w:rsidR="004B3593" w:rsidRPr="004B3593" w:rsidRDefault="004B3593" w:rsidP="004B3593">
      <w:pPr>
        <w:spacing w:before="120" w:after="60" w:line="240" w:lineRule="auto"/>
        <w:rPr>
          <w:rFonts w:ascii="Times New Roman" w:eastAsia="Times New Roman" w:hAnsi="Times New Roman" w:cs="Times New Roman"/>
          <w:sz w:val="24"/>
          <w:szCs w:val="24"/>
        </w:rPr>
      </w:pPr>
    </w:p>
    <w:p w14:paraId="06F61A6B" w14:textId="77777777" w:rsidR="004B3593" w:rsidRPr="004B3593" w:rsidRDefault="004B3593" w:rsidP="004B3593">
      <w:pPr>
        <w:spacing w:after="0" w:line="240" w:lineRule="auto"/>
        <w:ind w:left="-89"/>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rPr>
        <w:tab/>
      </w:r>
      <w:r w:rsidRPr="004B3593">
        <w:rPr>
          <w:rFonts w:ascii="Times New Roman" w:eastAsia="Times New Roman" w:hAnsi="Times New Roman" w:cs="Times New Roman"/>
          <w:b/>
          <w:sz w:val="24"/>
          <w:szCs w:val="24"/>
          <w:u w:val="single"/>
        </w:rPr>
        <w:t>Progress Reports</w:t>
      </w:r>
    </w:p>
    <w:p w14:paraId="2A60286E" w14:textId="77777777" w:rsidR="004B3593" w:rsidRPr="004B3593" w:rsidRDefault="004B3593" w:rsidP="004B3593">
      <w:pPr>
        <w:spacing w:after="0" w:line="240" w:lineRule="auto"/>
        <w:ind w:left="-89"/>
        <w:rPr>
          <w:rFonts w:ascii="Times New Roman" w:eastAsia="Times New Roman" w:hAnsi="Times New Roman" w:cs="Times New Roman"/>
          <w:sz w:val="24"/>
          <w:szCs w:val="24"/>
        </w:rPr>
      </w:pPr>
    </w:p>
    <w:p w14:paraId="45FBC838" w14:textId="77777777" w:rsidR="004B3593" w:rsidRPr="004B3593" w:rsidRDefault="004B3593" w:rsidP="004B3593">
      <w:pPr>
        <w:numPr>
          <w:ilvl w:val="0"/>
          <w:numId w:val="9"/>
        </w:numPr>
        <w:spacing w:after="0" w:line="240" w:lineRule="auto"/>
        <w:ind w:hanging="35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73CF863" w14:textId="77777777" w:rsidR="004B3593" w:rsidRPr="004B3593" w:rsidRDefault="004B3593" w:rsidP="004B3593">
      <w:pPr>
        <w:spacing w:after="0" w:line="240" w:lineRule="auto"/>
        <w:ind w:left="270"/>
        <w:rPr>
          <w:rFonts w:ascii="Times New Roman" w:eastAsia="Times New Roman" w:hAnsi="Times New Roman" w:cs="Times New Roman"/>
          <w:sz w:val="24"/>
          <w:szCs w:val="24"/>
        </w:rPr>
      </w:pPr>
    </w:p>
    <w:p w14:paraId="2911EB52" w14:textId="77777777" w:rsidR="004B3593" w:rsidRPr="004B3593" w:rsidRDefault="004B3593" w:rsidP="004B3593">
      <w:pPr>
        <w:numPr>
          <w:ilvl w:val="0"/>
          <w:numId w:val="9"/>
        </w:numPr>
        <w:spacing w:after="0" w:line="240" w:lineRule="auto"/>
        <w:ind w:hanging="35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The progress reports shall include the following information:</w:t>
      </w:r>
    </w:p>
    <w:p w14:paraId="2F7D7E35" w14:textId="77777777" w:rsidR="004B3593" w:rsidRPr="004B3593" w:rsidRDefault="004B3593" w:rsidP="004B3593">
      <w:pPr>
        <w:spacing w:after="0" w:line="240" w:lineRule="auto"/>
        <w:ind w:left="-89"/>
        <w:rPr>
          <w:rFonts w:ascii="Times New Roman" w:eastAsia="Times New Roman" w:hAnsi="Times New Roman" w:cs="Times New Roman"/>
          <w:sz w:val="24"/>
          <w:szCs w:val="24"/>
        </w:rPr>
      </w:pPr>
    </w:p>
    <w:p w14:paraId="7C5F93C9" w14:textId="77777777" w:rsidR="004B3593" w:rsidRPr="004B3593" w:rsidRDefault="004B3593" w:rsidP="004B3593">
      <w:pPr>
        <w:numPr>
          <w:ilvl w:val="0"/>
          <w:numId w:val="8"/>
        </w:numPr>
        <w:spacing w:after="0" w:line="240" w:lineRule="auto"/>
        <w:ind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79B592BB" w14:textId="77777777" w:rsidR="004B3593" w:rsidRPr="004B3593" w:rsidRDefault="004B3593" w:rsidP="004B3593">
      <w:pPr>
        <w:numPr>
          <w:ilvl w:val="0"/>
          <w:numId w:val="8"/>
        </w:numPr>
        <w:spacing w:after="0" w:line="240" w:lineRule="auto"/>
        <w:ind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The reasons why established goals were not met, if appropriate.</w:t>
      </w:r>
    </w:p>
    <w:p w14:paraId="45CB14EE" w14:textId="77777777" w:rsidR="004B3593" w:rsidRPr="004B3593" w:rsidRDefault="004B3593" w:rsidP="004B3593">
      <w:pPr>
        <w:numPr>
          <w:ilvl w:val="0"/>
          <w:numId w:val="8"/>
        </w:numPr>
        <w:spacing w:after="0" w:line="240" w:lineRule="auto"/>
        <w:ind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Additional pertinent information including, when appropriate, analysis and explanation of cost overruns or high unit costs.</w:t>
      </w:r>
    </w:p>
    <w:p w14:paraId="1AEED830" w14:textId="77777777" w:rsidR="004B3593" w:rsidRPr="004B3593" w:rsidRDefault="004B3593" w:rsidP="004B3593">
      <w:pPr>
        <w:numPr>
          <w:ilvl w:val="0"/>
          <w:numId w:val="8"/>
        </w:numPr>
        <w:spacing w:after="0" w:line="240" w:lineRule="auto"/>
        <w:ind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An outline of anticipated activities and adjustments to the program during the next budget period.</w:t>
      </w:r>
    </w:p>
    <w:p w14:paraId="57E8683A" w14:textId="77777777" w:rsidR="004B3593" w:rsidRPr="004B3593" w:rsidRDefault="004B3593" w:rsidP="004B3593">
      <w:pPr>
        <w:spacing w:after="0" w:line="240" w:lineRule="auto"/>
        <w:ind w:left="1440"/>
        <w:rPr>
          <w:rFonts w:ascii="Times New Roman" w:eastAsia="Times New Roman" w:hAnsi="Times New Roman" w:cs="Times New Roman"/>
          <w:sz w:val="24"/>
          <w:szCs w:val="24"/>
        </w:rPr>
      </w:pPr>
    </w:p>
    <w:p w14:paraId="09F35B28" w14:textId="77777777" w:rsidR="004B3593" w:rsidRPr="004B3593" w:rsidRDefault="004B3593" w:rsidP="004B3593">
      <w:pPr>
        <w:spacing w:after="0" w:line="240" w:lineRule="auto"/>
        <w:ind w:left="36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c)</w:t>
      </w:r>
      <w:r w:rsidRPr="004B3593">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57FCB817" w14:textId="77777777" w:rsidR="004B3593" w:rsidRPr="004B3593" w:rsidRDefault="004B3593" w:rsidP="004B3593">
      <w:pPr>
        <w:spacing w:after="0" w:line="240" w:lineRule="auto"/>
        <w:ind w:left="1440" w:hanging="719"/>
        <w:rPr>
          <w:rFonts w:ascii="Times New Roman" w:eastAsia="Times New Roman" w:hAnsi="Times New Roman" w:cs="Times New Roman"/>
          <w:sz w:val="24"/>
          <w:szCs w:val="24"/>
        </w:rPr>
      </w:pPr>
    </w:p>
    <w:p w14:paraId="152F2ACB" w14:textId="77777777" w:rsidR="004B3593" w:rsidRPr="004B3593" w:rsidRDefault="004B3593" w:rsidP="004B3593">
      <w:pPr>
        <w:numPr>
          <w:ilvl w:val="1"/>
          <w:numId w:val="8"/>
        </w:numPr>
        <w:spacing w:after="0" w:line="240" w:lineRule="auto"/>
        <w:ind w:left="1440"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D895874" w14:textId="77777777" w:rsidR="004B3593" w:rsidRPr="004B3593" w:rsidRDefault="004B3593" w:rsidP="004B3593">
      <w:pPr>
        <w:numPr>
          <w:ilvl w:val="1"/>
          <w:numId w:val="8"/>
        </w:numPr>
        <w:spacing w:after="0" w:line="240" w:lineRule="auto"/>
        <w:ind w:left="1440"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4B3593">
        <w:rPr>
          <w:rFonts w:ascii="Times New Roman" w:eastAsia="Times New Roman" w:hAnsi="Times New Roman" w:cs="Times New Roman"/>
          <w:sz w:val="24"/>
          <w:szCs w:val="24"/>
        </w:rPr>
        <w:t>or  different</w:t>
      </w:r>
      <w:proofErr w:type="gramEnd"/>
      <w:r w:rsidRPr="004B3593">
        <w:rPr>
          <w:rFonts w:ascii="Times New Roman" w:eastAsia="Times New Roman" w:hAnsi="Times New Roman" w:cs="Times New Roman"/>
          <w:sz w:val="24"/>
          <w:szCs w:val="24"/>
        </w:rPr>
        <w:t xml:space="preserve"> beneficial results than originally planned.</w:t>
      </w:r>
    </w:p>
    <w:p w14:paraId="29134883" w14:textId="77777777" w:rsidR="004B3593" w:rsidRPr="004B3593" w:rsidRDefault="004B3593" w:rsidP="004B3593">
      <w:pPr>
        <w:spacing w:after="0" w:line="240" w:lineRule="auto"/>
        <w:ind w:left="2520"/>
        <w:rPr>
          <w:rFonts w:ascii="Times New Roman" w:eastAsia="Times New Roman" w:hAnsi="Times New Roman" w:cs="Times New Roman"/>
          <w:sz w:val="24"/>
          <w:szCs w:val="24"/>
        </w:rPr>
      </w:pPr>
    </w:p>
    <w:p w14:paraId="63D1926B" w14:textId="77777777" w:rsidR="004B3593" w:rsidRPr="004B3593" w:rsidRDefault="004B3593" w:rsidP="004B3593">
      <w:pPr>
        <w:spacing w:after="0" w:line="240" w:lineRule="auto"/>
        <w:ind w:left="2520"/>
        <w:rPr>
          <w:rFonts w:ascii="Times New Roman" w:eastAsia="Times New Roman" w:hAnsi="Times New Roman" w:cs="Times New Roman"/>
          <w:sz w:val="24"/>
          <w:szCs w:val="24"/>
        </w:rPr>
      </w:pPr>
    </w:p>
    <w:p w14:paraId="79EB01FD" w14:textId="77777777" w:rsidR="004B3593" w:rsidRPr="004B3593" w:rsidRDefault="004B3593" w:rsidP="004B3593">
      <w:pPr>
        <w:spacing w:after="0" w:line="240" w:lineRule="auto"/>
        <w:ind w:left="2520"/>
        <w:rPr>
          <w:rFonts w:ascii="Times New Roman" w:eastAsia="Times New Roman" w:hAnsi="Times New Roman" w:cs="Times New Roman"/>
          <w:sz w:val="24"/>
          <w:szCs w:val="24"/>
        </w:rPr>
      </w:pPr>
    </w:p>
    <w:p w14:paraId="47B82F0F" w14:textId="77777777" w:rsidR="004B3593" w:rsidRPr="004B3593" w:rsidRDefault="004B3593" w:rsidP="004B3593">
      <w:pPr>
        <w:spacing w:after="0" w:line="240" w:lineRule="auto"/>
        <w:ind w:left="2520"/>
        <w:rPr>
          <w:rFonts w:ascii="Times New Roman" w:eastAsia="Times New Roman" w:hAnsi="Times New Roman" w:cs="Times New Roman"/>
          <w:sz w:val="24"/>
          <w:szCs w:val="24"/>
        </w:rPr>
      </w:pPr>
    </w:p>
    <w:p w14:paraId="7FF23EDE" w14:textId="77777777" w:rsidR="004B3593" w:rsidRPr="004B3593" w:rsidRDefault="004B3593" w:rsidP="004B3593">
      <w:pPr>
        <w:spacing w:after="0" w:line="240" w:lineRule="auto"/>
        <w:ind w:left="-89"/>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u w:val="single"/>
        </w:rPr>
        <w:t>Final Technical Report</w:t>
      </w:r>
    </w:p>
    <w:p w14:paraId="0B62C47C" w14:textId="77777777" w:rsidR="004B3593" w:rsidRPr="004B3593" w:rsidRDefault="004B3593" w:rsidP="004B3593">
      <w:pPr>
        <w:spacing w:after="0" w:line="240" w:lineRule="auto"/>
        <w:ind w:left="-89"/>
        <w:rPr>
          <w:rFonts w:ascii="Times New Roman" w:eastAsia="Times New Roman" w:hAnsi="Times New Roman" w:cs="Times New Roman"/>
          <w:sz w:val="24"/>
          <w:szCs w:val="24"/>
        </w:rPr>
      </w:pPr>
    </w:p>
    <w:p w14:paraId="67188A02" w14:textId="77777777" w:rsidR="004B3593" w:rsidRPr="004B3593" w:rsidRDefault="004B3593" w:rsidP="004B3593">
      <w:pPr>
        <w:spacing w:after="0" w:line="240" w:lineRule="auto"/>
        <w:ind w:left="360" w:hanging="44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w:t>
      </w:r>
      <w:r w:rsidRPr="004B3593">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3735B13" w14:textId="77777777" w:rsidR="004B3593" w:rsidRPr="004B3593" w:rsidRDefault="004B3593" w:rsidP="004B3593">
      <w:pPr>
        <w:spacing w:after="0" w:line="240" w:lineRule="auto"/>
        <w:ind w:left="360" w:hanging="449"/>
        <w:rPr>
          <w:rFonts w:ascii="Times New Roman" w:eastAsia="Times New Roman" w:hAnsi="Times New Roman" w:cs="Times New Roman"/>
          <w:sz w:val="24"/>
          <w:szCs w:val="24"/>
        </w:rPr>
      </w:pPr>
    </w:p>
    <w:p w14:paraId="6B79B467" w14:textId="77777777" w:rsidR="004B3593" w:rsidRPr="004B3593" w:rsidRDefault="004B3593" w:rsidP="004B3593">
      <w:pPr>
        <w:spacing w:after="0" w:line="240" w:lineRule="auto"/>
        <w:ind w:left="360" w:hanging="44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b)</w:t>
      </w:r>
      <w:r w:rsidRPr="004B3593">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0ABEB7" w14:textId="77777777" w:rsidR="004B3593" w:rsidRPr="004B3593" w:rsidRDefault="004B3593" w:rsidP="004B3593">
      <w:pPr>
        <w:spacing w:after="0" w:line="240" w:lineRule="auto"/>
        <w:rPr>
          <w:rFonts w:ascii="Times New Roman" w:eastAsia="Times New Roman" w:hAnsi="Times New Roman" w:cs="Times New Roman"/>
          <w:sz w:val="24"/>
          <w:szCs w:val="24"/>
        </w:rPr>
      </w:pPr>
    </w:p>
    <w:p w14:paraId="32435084" w14:textId="77777777" w:rsidR="004B3593" w:rsidRPr="004B3593" w:rsidRDefault="004B3593" w:rsidP="004B3593">
      <w:pPr>
        <w:tabs>
          <w:tab w:val="left" w:pos="432"/>
          <w:tab w:val="left" w:pos="864"/>
          <w:tab w:val="left" w:pos="1296"/>
        </w:tabs>
        <w:spacing w:after="24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u w:val="single"/>
        </w:rPr>
        <w:t>Annual Financial Reports</w:t>
      </w:r>
    </w:p>
    <w:p w14:paraId="5B74B038" w14:textId="77777777" w:rsidR="004B3593" w:rsidRPr="004B3593" w:rsidRDefault="004B3593" w:rsidP="004B3593">
      <w:pPr>
        <w:spacing w:after="0" w:line="240" w:lineRule="auto"/>
        <w:ind w:left="432" w:hanging="432"/>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w:t>
      </w:r>
      <w:r w:rsidRPr="004B3593">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4B3593">
        <w:rPr>
          <w:rFonts w:ascii="Times New Roman" w:eastAsia="Times New Roman" w:hAnsi="Times New Roman" w:cs="Times New Roman"/>
          <w:i/>
          <w:sz w:val="24"/>
          <w:szCs w:val="24"/>
        </w:rPr>
        <w:t>https://www.grants.gov/web/grants/forms/post-award-reporting-forms.html The</w:t>
      </w:r>
      <w:r w:rsidRPr="004B3593">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4B3593">
        <w:rPr>
          <w:rFonts w:ascii="Times New Roman" w:eastAsia="Times New Roman" w:hAnsi="Times New Roman" w:cs="Times New Roman"/>
          <w:sz w:val="24"/>
          <w:szCs w:val="24"/>
        </w:rPr>
        <w:br/>
      </w:r>
    </w:p>
    <w:p w14:paraId="26992D23" w14:textId="77777777" w:rsidR="004B3593" w:rsidRPr="004B3593" w:rsidRDefault="004B3593" w:rsidP="004B3593">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b)</w:t>
      </w:r>
      <w:r w:rsidRPr="004B3593">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D65548E" w14:textId="77777777" w:rsidR="004B3593" w:rsidRPr="004B3593" w:rsidRDefault="004B3593" w:rsidP="004B3593">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1369B84F" w14:textId="77777777" w:rsidR="004B3593" w:rsidRPr="004B3593" w:rsidRDefault="004B3593" w:rsidP="004B3593">
      <w:pPr>
        <w:spacing w:before="280" w:after="28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u w:val="single"/>
        </w:rPr>
        <w:t>Final Financial Report</w:t>
      </w:r>
    </w:p>
    <w:p w14:paraId="59D077AE" w14:textId="5A52ACF7" w:rsidR="004B3593" w:rsidRDefault="004B3593" w:rsidP="004B3593">
      <w:pPr>
        <w:spacing w:after="280" w:line="240" w:lineRule="auto"/>
        <w:ind w:left="432" w:hanging="431"/>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w:t>
      </w:r>
      <w:r w:rsidRPr="004B3593">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30C2687B" w14:textId="77777777" w:rsidR="004B3593" w:rsidRPr="004B3593" w:rsidRDefault="004B3593" w:rsidP="004B3593">
      <w:pPr>
        <w:spacing w:after="280" w:line="240" w:lineRule="auto"/>
        <w:ind w:left="432" w:hanging="431"/>
        <w:rPr>
          <w:rFonts w:ascii="Times New Roman" w:eastAsia="Times New Roman" w:hAnsi="Times New Roman" w:cs="Times New Roman"/>
          <w:sz w:val="24"/>
          <w:szCs w:val="24"/>
        </w:rPr>
      </w:pPr>
    </w:p>
    <w:p w14:paraId="2D8C24E8" w14:textId="77777777" w:rsidR="004B3593" w:rsidRPr="004B3593" w:rsidRDefault="004B3593" w:rsidP="004B3593">
      <w:pPr>
        <w:spacing w:after="280" w:line="240" w:lineRule="auto"/>
        <w:ind w:left="432" w:hanging="431"/>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lastRenderedPageBreak/>
        <w:t>b)</w:t>
      </w:r>
      <w:r w:rsidRPr="004B3593">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4B3593">
        <w:rPr>
          <w:rFonts w:ascii="Times New Roman" w:eastAsia="Times New Roman" w:hAnsi="Times New Roman" w:cs="Times New Roman"/>
          <w:sz w:val="24"/>
          <w:szCs w:val="24"/>
        </w:rPr>
        <w:t>deobligate</w:t>
      </w:r>
      <w:proofErr w:type="spellEnd"/>
      <w:r w:rsidRPr="004B3593">
        <w:rPr>
          <w:rFonts w:ascii="Times New Roman" w:eastAsia="Times New Roman" w:hAnsi="Times New Roman" w:cs="Times New Roman"/>
          <w:sz w:val="24"/>
          <w:szCs w:val="24"/>
        </w:rPr>
        <w:t xml:space="preserve"> federal funds as reflected in the Final SF 425.</w:t>
      </w:r>
    </w:p>
    <w:p w14:paraId="747091D3" w14:textId="77777777" w:rsidR="004B3593" w:rsidRPr="004B3593" w:rsidRDefault="004B3593" w:rsidP="004B3593">
      <w:pPr>
        <w:spacing w:after="280" w:line="240" w:lineRule="auto"/>
        <w:ind w:left="432" w:hanging="431"/>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c)</w:t>
      </w:r>
      <w:r w:rsidRPr="004B3593">
        <w:rPr>
          <w:rFonts w:ascii="Times New Roman" w:eastAsia="Times New Roman" w:hAnsi="Times New Roman" w:cs="Times New Roman"/>
          <w:sz w:val="24"/>
          <w:szCs w:val="24"/>
        </w:rPr>
        <w:tab/>
        <w:t>Subsequent revision to the final SF 425 will be considered only as follows:</w:t>
      </w:r>
    </w:p>
    <w:p w14:paraId="1D9738AD" w14:textId="77777777" w:rsidR="004B3593" w:rsidRPr="004B3593" w:rsidRDefault="004B3593" w:rsidP="004B3593">
      <w:pPr>
        <w:spacing w:after="280" w:line="240" w:lineRule="auto"/>
        <w:ind w:left="1440" w:hanging="719"/>
        <w:rPr>
          <w:rFonts w:ascii="Times New Roman" w:eastAsia="Times New Roman" w:hAnsi="Times New Roman" w:cs="Times New Roman"/>
          <w:sz w:val="24"/>
          <w:szCs w:val="24"/>
        </w:rPr>
      </w:pPr>
      <w:proofErr w:type="spellStart"/>
      <w:r w:rsidRPr="004B3593">
        <w:rPr>
          <w:rFonts w:ascii="Times New Roman" w:eastAsia="Times New Roman" w:hAnsi="Times New Roman" w:cs="Times New Roman"/>
          <w:sz w:val="24"/>
          <w:szCs w:val="24"/>
        </w:rPr>
        <w:t>i</w:t>
      </w:r>
      <w:proofErr w:type="spellEnd"/>
      <w:r w:rsidRPr="004B3593">
        <w:rPr>
          <w:rFonts w:ascii="Times New Roman" w:eastAsia="Times New Roman" w:hAnsi="Times New Roman" w:cs="Times New Roman"/>
          <w:sz w:val="24"/>
          <w:szCs w:val="24"/>
        </w:rPr>
        <w:t>.</w:t>
      </w:r>
      <w:r w:rsidRPr="004B3593">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D66036A" w14:textId="77777777" w:rsidR="004B3593" w:rsidRPr="004B3593" w:rsidRDefault="004B3593" w:rsidP="004B3593">
      <w:pPr>
        <w:spacing w:after="280" w:line="240" w:lineRule="auto"/>
        <w:ind w:left="1440" w:hanging="719"/>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ii.</w:t>
      </w:r>
      <w:r w:rsidRPr="004B3593">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D9DC6AF" w14:textId="77777777" w:rsidR="004B3593" w:rsidRPr="004B3593" w:rsidRDefault="004B3593" w:rsidP="004B359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u w:val="single"/>
        </w:rPr>
        <w:t>Publications</w:t>
      </w:r>
    </w:p>
    <w:p w14:paraId="08DC04DD" w14:textId="77777777" w:rsidR="004B3593" w:rsidRPr="004B3593" w:rsidRDefault="004B3593" w:rsidP="004B3593">
      <w:pPr>
        <w:spacing w:after="240" w:line="240" w:lineRule="auto"/>
        <w:ind w:left="36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u w:val="single"/>
        </w:rPr>
        <w:t>Acknowledgment of Support</w:t>
      </w:r>
    </w:p>
    <w:p w14:paraId="7BB34B3A" w14:textId="77777777" w:rsidR="004B3593" w:rsidRPr="004B3593" w:rsidRDefault="004B3593" w:rsidP="004B3593">
      <w:pPr>
        <w:spacing w:after="240" w:line="240" w:lineRule="auto"/>
        <w:ind w:right="432" w:firstLine="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Recipient is responsible for assuring that an acknowledgment of USGS support:</w:t>
      </w:r>
    </w:p>
    <w:p w14:paraId="2859F213" w14:textId="77777777" w:rsidR="004B3593" w:rsidRPr="004B3593" w:rsidRDefault="004B3593" w:rsidP="004B3593">
      <w:pPr>
        <w:spacing w:after="240" w:line="240" w:lineRule="auto"/>
        <w:ind w:left="72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1.</w:t>
      </w:r>
      <w:r w:rsidRPr="004B3593">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1DA87C13" w14:textId="77777777" w:rsidR="004B3593" w:rsidRPr="004B3593" w:rsidRDefault="004B3593" w:rsidP="004B3593">
      <w:pPr>
        <w:spacing w:after="240" w:line="240" w:lineRule="auto"/>
        <w:ind w:left="1440" w:right="432"/>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This material is based upon work supported by the U.S. Geological Survey under Grant/Cooperative Agreement No. (</w:t>
      </w:r>
      <w:r w:rsidRPr="004B3593">
        <w:rPr>
          <w:rFonts w:ascii="Times New Roman" w:eastAsia="Times New Roman" w:hAnsi="Times New Roman" w:cs="Times New Roman"/>
          <w:i/>
          <w:sz w:val="24"/>
          <w:szCs w:val="24"/>
        </w:rPr>
        <w:t>insert agreement number</w:t>
      </w:r>
      <w:r w:rsidRPr="004B3593">
        <w:rPr>
          <w:rFonts w:ascii="Times New Roman" w:eastAsia="Times New Roman" w:hAnsi="Times New Roman" w:cs="Times New Roman"/>
          <w:sz w:val="24"/>
          <w:szCs w:val="24"/>
        </w:rPr>
        <w:t>).</w:t>
      </w:r>
    </w:p>
    <w:p w14:paraId="63ACAF14" w14:textId="77777777" w:rsidR="004B3593" w:rsidRPr="004B3593" w:rsidRDefault="004B3593" w:rsidP="004B3593">
      <w:pPr>
        <w:spacing w:after="240" w:line="240" w:lineRule="auto"/>
        <w:ind w:left="72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2.</w:t>
      </w:r>
      <w:r w:rsidRPr="004B3593">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4B3593">
        <w:rPr>
          <w:rFonts w:ascii="Times New Roman" w:eastAsia="Times New Roman" w:hAnsi="Times New Roman" w:cs="Times New Roman"/>
          <w:sz w:val="24"/>
          <w:szCs w:val="24"/>
        </w:rPr>
        <w:t>television</w:t>
      </w:r>
      <w:proofErr w:type="gramEnd"/>
      <w:r w:rsidRPr="004B3593">
        <w:rPr>
          <w:rFonts w:ascii="Times New Roman" w:eastAsia="Times New Roman" w:hAnsi="Times New Roman" w:cs="Times New Roman"/>
          <w:sz w:val="24"/>
          <w:szCs w:val="24"/>
        </w:rPr>
        <w:t xml:space="preserve"> and news magazines.</w:t>
      </w:r>
    </w:p>
    <w:p w14:paraId="72C58BB9" w14:textId="77777777" w:rsidR="004B3593" w:rsidRPr="004B3593" w:rsidRDefault="004B3593" w:rsidP="004B3593">
      <w:pPr>
        <w:spacing w:after="240" w:line="240" w:lineRule="auto"/>
        <w:ind w:left="36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b)</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u w:val="single"/>
        </w:rPr>
        <w:t>Disclaimer</w:t>
      </w:r>
    </w:p>
    <w:p w14:paraId="1F8E22E8" w14:textId="77777777" w:rsidR="004B3593" w:rsidRPr="004B3593" w:rsidRDefault="004B3593" w:rsidP="004B3593">
      <w:pPr>
        <w:spacing w:after="240" w:line="240" w:lineRule="auto"/>
        <w:ind w:left="360" w:right="432"/>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2ADDEAEF" w14:textId="77777777" w:rsidR="004B3593" w:rsidRPr="004B3593" w:rsidRDefault="004B3593" w:rsidP="004B3593">
      <w:pPr>
        <w:spacing w:after="240" w:line="240" w:lineRule="auto"/>
        <w:ind w:left="720" w:right="432"/>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E8AA5B3" w14:textId="77777777" w:rsidR="004B3593" w:rsidRPr="004B3593" w:rsidRDefault="004B3593" w:rsidP="004B35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lastRenderedPageBreak/>
        <w:t>c)</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u w:val="single"/>
        </w:rPr>
        <w:t>Publication</w:t>
      </w:r>
    </w:p>
    <w:p w14:paraId="48037375" w14:textId="77777777" w:rsidR="004B3593" w:rsidRPr="004B3593" w:rsidRDefault="004B3593" w:rsidP="004B35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7712885" w14:textId="77777777" w:rsidR="004B3593" w:rsidRPr="004B3593" w:rsidRDefault="004B3593" w:rsidP="004B359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B2C4810"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CD56E2B"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32F05817"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970367B"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4B3593">
        <w:rPr>
          <w:rFonts w:ascii="Times New Roman" w:eastAsia="Times New Roman" w:hAnsi="Times New Roman" w:cs="Times New Roman"/>
          <w:sz w:val="24"/>
          <w:szCs w:val="24"/>
        </w:rPr>
        <w:t>d)</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u w:val="single"/>
        </w:rPr>
        <w:t>Copies for USGS</w:t>
      </w:r>
    </w:p>
    <w:p w14:paraId="70E6FB80"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84B5023"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4B3593">
        <w:rPr>
          <w:rFonts w:ascii="Times New Roman" w:eastAsia="Times New Roman" w:hAnsi="Times New Roman" w:cs="Times New Roman"/>
          <w:sz w:val="24"/>
          <w:szCs w:val="24"/>
          <w:shd w:val="clear" w:color="auto" w:fill="FFFFFF"/>
        </w:rPr>
        <w:t>DOCx</w:t>
      </w:r>
      <w:proofErr w:type="spellEnd"/>
      <w:r w:rsidRPr="004B3593">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2C4E4B9F" w14:textId="77777777" w:rsidR="004B3593" w:rsidRPr="004B3593" w:rsidRDefault="004B3593" w:rsidP="004B359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52B7E4BC"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e)</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u w:val="single"/>
        </w:rPr>
        <w:t>Department of the Interior Requirements</w:t>
      </w:r>
    </w:p>
    <w:p w14:paraId="73CECF32"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5FEF9544"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053E4552"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0F618AE"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U.S.  Department of the Interior</w:t>
      </w:r>
    </w:p>
    <w:p w14:paraId="3C1DA666"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Natural Resources Library</w:t>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rPr>
        <w:tab/>
      </w:r>
      <w:r w:rsidRPr="004B3593">
        <w:rPr>
          <w:rFonts w:ascii="Times New Roman" w:eastAsia="Times New Roman" w:hAnsi="Times New Roman" w:cs="Times New Roman"/>
          <w:sz w:val="24"/>
          <w:szCs w:val="24"/>
        </w:rPr>
        <w:tab/>
      </w:r>
    </w:p>
    <w:p w14:paraId="58857311"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Division of Information and Library Services</w:t>
      </w:r>
    </w:p>
    <w:p w14:paraId="129C2F1E"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Gifts and Exchange Section</w:t>
      </w:r>
    </w:p>
    <w:p w14:paraId="0CC84082" w14:textId="77777777" w:rsidR="004B3593" w:rsidRPr="004B3593" w:rsidRDefault="004B3593" w:rsidP="004B359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18th and C Streets, NW</w:t>
      </w:r>
    </w:p>
    <w:p w14:paraId="795F6DF3" w14:textId="77777777" w:rsidR="004B3593" w:rsidRPr="004B3593" w:rsidRDefault="004B3593" w:rsidP="004B3593">
      <w:pPr>
        <w:spacing w:after="0" w:line="240" w:lineRule="auto"/>
        <w:ind w:firstLine="720"/>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Washington, DC 20240</w:t>
      </w:r>
    </w:p>
    <w:p w14:paraId="5D0A025B" w14:textId="77777777" w:rsidR="004B3593" w:rsidRPr="004B3593" w:rsidRDefault="004B3593" w:rsidP="004B3593">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6409394B" w14:textId="77777777" w:rsidR="004B3593" w:rsidRPr="004B3593" w:rsidRDefault="004B3593" w:rsidP="004B3593">
      <w:pPr>
        <w:spacing w:after="0" w:line="240" w:lineRule="atLeast"/>
        <w:ind w:left="-90"/>
        <w:rPr>
          <w:rFonts w:ascii="Times New Roman" w:eastAsia="Times New Roman" w:hAnsi="Times New Roman" w:cs="Times New Roman"/>
          <w:sz w:val="24"/>
          <w:szCs w:val="24"/>
        </w:rPr>
      </w:pPr>
      <w:r w:rsidRPr="004B3593">
        <w:rPr>
          <w:rFonts w:ascii="Times New Roman" w:eastAsia="Times New Roman" w:hAnsi="Times New Roman" w:cs="Times New Roman"/>
          <w:b/>
          <w:sz w:val="24"/>
          <w:szCs w:val="24"/>
          <w:u w:val="single"/>
        </w:rPr>
        <w:t>Payment</w:t>
      </w:r>
    </w:p>
    <w:p w14:paraId="50E7E316" w14:textId="77777777" w:rsidR="004B3593" w:rsidRPr="004B3593" w:rsidRDefault="004B3593" w:rsidP="004B359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6AFFB1F5"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1" w:history="1">
        <w:r w:rsidRPr="004B3593">
          <w:rPr>
            <w:rFonts w:ascii="Times New Roman" w:eastAsia="Times New Roman" w:hAnsi="Times New Roman" w:cs="Times New Roman"/>
            <w:color w:val="0000FF"/>
            <w:sz w:val="24"/>
            <w:szCs w:val="24"/>
            <w:u w:val="single"/>
          </w:rPr>
          <w:t>www.asap.gov</w:t>
        </w:r>
      </w:hyperlink>
      <w:r w:rsidRPr="004B3593">
        <w:rPr>
          <w:rFonts w:ascii="Times New Roman" w:eastAsia="Times New Roman" w:hAnsi="Times New Roman" w:cs="Times New Roman"/>
          <w:sz w:val="24"/>
          <w:szCs w:val="24"/>
        </w:rPr>
        <w:t>).</w:t>
      </w:r>
    </w:p>
    <w:p w14:paraId="6E5B0494"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34CB9648"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a)</w:t>
      </w:r>
      <w:r w:rsidRPr="004B3593">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4B3593">
        <w:rPr>
          <w:rFonts w:ascii="Times New Roman" w:eastAsia="Times New Roman" w:hAnsi="Times New Roman" w:cs="Times New Roman"/>
          <w:sz w:val="24"/>
          <w:szCs w:val="24"/>
        </w:rPr>
        <w:t>phone</w:t>
      </w:r>
      <w:proofErr w:type="gramEnd"/>
      <w:r w:rsidRPr="004B3593">
        <w:rPr>
          <w:rFonts w:ascii="Times New Roman" w:eastAsia="Times New Roman" w:hAnsi="Times New Roman" w:cs="Times New Roman"/>
          <w:sz w:val="24"/>
          <w:szCs w:val="24"/>
        </w:rPr>
        <w:t xml:space="preserve"> and e-mail) who will serve as the Point of Contact (POC).</w:t>
      </w:r>
    </w:p>
    <w:p w14:paraId="01510D05"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D6D2986"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b)</w:t>
      </w:r>
      <w:r w:rsidRPr="004B3593">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FDEAFB3"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1D07704F"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c)</w:t>
      </w:r>
      <w:r w:rsidRPr="004B3593">
        <w:rPr>
          <w:rFonts w:ascii="Times New Roman" w:eastAsia="Times New Roman" w:hAnsi="Times New Roman" w:cs="Times New Roman"/>
          <w:sz w:val="24"/>
          <w:szCs w:val="24"/>
        </w:rPr>
        <w:tab/>
        <w:t>Inquiries regarding payment should be directed to ASAP at 855-868-0151.</w:t>
      </w:r>
    </w:p>
    <w:p w14:paraId="416C55C0"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422726D" w14:textId="77777777" w:rsidR="004B3593" w:rsidRPr="004B3593" w:rsidRDefault="004B3593" w:rsidP="004B359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d)</w:t>
      </w:r>
      <w:r w:rsidRPr="004B3593">
        <w:rPr>
          <w:rFonts w:ascii="Times New Roman" w:eastAsia="Times New Roman" w:hAnsi="Times New Roman" w:cs="Times New Roman"/>
          <w:sz w:val="24"/>
          <w:szCs w:val="24"/>
        </w:rPr>
        <w:tab/>
        <w:t>Payments may be drawn in advance only as needed to meet immediate cash disbursement needs.</w:t>
      </w:r>
    </w:p>
    <w:p w14:paraId="052ACFB0" w14:textId="77777777" w:rsidR="004B3593" w:rsidRPr="004B3593" w:rsidRDefault="004B3593" w:rsidP="004B3593">
      <w:pPr>
        <w:spacing w:before="192" w:after="0" w:line="240" w:lineRule="auto"/>
        <w:rPr>
          <w:rFonts w:ascii="Times New Roman" w:eastAsia="+mn-ea" w:hAnsi="Times New Roman" w:cs="Times New Roman"/>
          <w:b/>
          <w:bCs/>
          <w:color w:val="1D1D1D"/>
          <w:kern w:val="24"/>
          <w:sz w:val="24"/>
          <w:szCs w:val="24"/>
          <w:u w:val="single"/>
        </w:rPr>
      </w:pPr>
      <w:r w:rsidRPr="004B3593">
        <w:rPr>
          <w:rFonts w:ascii="Times New Roman" w:eastAsia="+mn-ea" w:hAnsi="Times New Roman" w:cs="Times New Roman"/>
          <w:b/>
          <w:bCs/>
          <w:color w:val="1D1D1D"/>
          <w:kern w:val="24"/>
          <w:sz w:val="24"/>
          <w:szCs w:val="24"/>
        </w:rPr>
        <w:t xml:space="preserve">Federal Awardee Performance and Integrity Information System </w:t>
      </w:r>
      <w:r w:rsidRPr="004B3593">
        <w:rPr>
          <w:rFonts w:ascii="Times New Roman" w:eastAsia="+mn-ea" w:hAnsi="Times New Roman" w:cs="Times New Roman"/>
          <w:b/>
          <w:bCs/>
          <w:color w:val="1D1D1D"/>
          <w:kern w:val="24"/>
          <w:sz w:val="24"/>
          <w:szCs w:val="24"/>
          <w:u w:val="single"/>
        </w:rPr>
        <w:t xml:space="preserve">FAPIIS Checks (PPIRS) </w:t>
      </w:r>
    </w:p>
    <w:p w14:paraId="566E412B" w14:textId="77777777" w:rsidR="004B3593" w:rsidRPr="004B3593" w:rsidRDefault="004B3593" w:rsidP="004B3593">
      <w:pPr>
        <w:spacing w:after="0" w:line="240" w:lineRule="auto"/>
        <w:rPr>
          <w:rFonts w:ascii="Times New Roman" w:eastAsia="Times New Roman" w:hAnsi="Times New Roman" w:cs="Times New Roman"/>
          <w:sz w:val="24"/>
          <w:szCs w:val="24"/>
        </w:rPr>
      </w:pPr>
    </w:p>
    <w:p w14:paraId="5EC6EB3B"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mn-ea" w:hAnsi="Times New Roman" w:cs="Times New Roman"/>
          <w:b/>
          <w:bCs/>
          <w:color w:val="1D1D1D"/>
          <w:kern w:val="24"/>
          <w:sz w:val="24"/>
          <w:szCs w:val="24"/>
        </w:rPr>
        <w:t>Funding Opportunity (2 CFR 200 Appendix I)</w:t>
      </w:r>
    </w:p>
    <w:p w14:paraId="103B23C2" w14:textId="77777777" w:rsidR="004B3593" w:rsidRPr="004B3593" w:rsidRDefault="004B3593" w:rsidP="004B3593">
      <w:pPr>
        <w:spacing w:after="0" w:line="240" w:lineRule="auto"/>
        <w:rPr>
          <w:rFonts w:ascii="Times New Roman" w:eastAsia="+mn-ea" w:hAnsi="Times New Roman" w:cs="Times New Roman"/>
          <w:color w:val="1D1D1D"/>
          <w:kern w:val="24"/>
          <w:sz w:val="24"/>
          <w:szCs w:val="24"/>
        </w:rPr>
      </w:pPr>
      <w:r w:rsidRPr="004B3593">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47D77D7A" w14:textId="77777777" w:rsidR="004B3593" w:rsidRPr="004B3593" w:rsidRDefault="004B3593" w:rsidP="004B3593">
      <w:pPr>
        <w:spacing w:after="0" w:line="240" w:lineRule="auto"/>
        <w:rPr>
          <w:rFonts w:ascii="Times New Roman" w:eastAsia="Times New Roman" w:hAnsi="Times New Roman" w:cs="Times New Roman"/>
          <w:sz w:val="24"/>
          <w:szCs w:val="24"/>
        </w:rPr>
      </w:pPr>
    </w:p>
    <w:p w14:paraId="30F58D69"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mn-ea" w:hAnsi="Times New Roman" w:cs="Times New Roman"/>
          <w:b/>
          <w:bCs/>
          <w:color w:val="1D1D1D"/>
          <w:kern w:val="24"/>
          <w:sz w:val="24"/>
          <w:szCs w:val="24"/>
        </w:rPr>
        <w:t>Pre-Award Review of FAPIIS (2 CFR 200.205)</w:t>
      </w:r>
    </w:p>
    <w:p w14:paraId="573EB1AF"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4B3593">
        <w:rPr>
          <w:rFonts w:ascii="Times New Roman" w:eastAsia="+mn-ea" w:hAnsi="Times New Roman" w:cs="Times New Roman"/>
          <w:color w:val="1D1D1D"/>
          <w:kern w:val="24"/>
          <w:sz w:val="24"/>
          <w:szCs w:val="24"/>
        </w:rPr>
        <w:t>procurements;</w:t>
      </w:r>
      <w:proofErr w:type="gramEnd"/>
      <w:r w:rsidRPr="004B3593">
        <w:rPr>
          <w:rFonts w:ascii="Times New Roman" w:eastAsia="+mn-ea" w:hAnsi="Times New Roman" w:cs="Times New Roman"/>
          <w:color w:val="1D1D1D"/>
          <w:kern w:val="24"/>
          <w:sz w:val="24"/>
          <w:szCs w:val="24"/>
        </w:rPr>
        <w:t xml:space="preserve"> and integrity and business ethics.</w:t>
      </w:r>
    </w:p>
    <w:p w14:paraId="1B337DCA" w14:textId="77777777" w:rsidR="004B3593" w:rsidRPr="004B3593" w:rsidRDefault="004B3593" w:rsidP="004B3593">
      <w:pPr>
        <w:spacing w:after="0" w:line="240" w:lineRule="auto"/>
        <w:rPr>
          <w:rFonts w:ascii="Times New Roman" w:eastAsia="Times New Roman" w:hAnsi="Times New Roman" w:cs="Times New Roman"/>
          <w:sz w:val="24"/>
          <w:szCs w:val="24"/>
        </w:rPr>
      </w:pPr>
    </w:p>
    <w:p w14:paraId="216D617C" w14:textId="77777777" w:rsidR="004B3593" w:rsidRPr="004B3593" w:rsidRDefault="004B3593" w:rsidP="004B3593">
      <w:pPr>
        <w:spacing w:after="0" w:line="240" w:lineRule="auto"/>
        <w:rPr>
          <w:rFonts w:ascii="Times New Roman" w:eastAsia="Times New Roman" w:hAnsi="Times New Roman" w:cs="Times New Roman"/>
          <w:sz w:val="24"/>
          <w:szCs w:val="24"/>
        </w:rPr>
      </w:pPr>
    </w:p>
    <w:p w14:paraId="7C41A73D" w14:textId="77777777" w:rsidR="004B3593" w:rsidRPr="004B3593" w:rsidRDefault="004B3593" w:rsidP="004B3593">
      <w:pPr>
        <w:keepNext/>
        <w:spacing w:after="0" w:line="240" w:lineRule="auto"/>
        <w:outlineLvl w:val="1"/>
        <w:rPr>
          <w:rFonts w:ascii="Times New Roman" w:eastAsia="Times New Roman" w:hAnsi="Times New Roman" w:cs="Times New Roman"/>
          <w:b/>
          <w:bCs/>
          <w:iCs/>
          <w:sz w:val="24"/>
          <w:szCs w:val="24"/>
          <w:lang w:eastAsia="x-none"/>
        </w:rPr>
      </w:pPr>
      <w:r w:rsidRPr="004B3593">
        <w:rPr>
          <w:rFonts w:ascii="Times New Roman" w:eastAsia="Times New Roman" w:hAnsi="Times New Roman" w:cs="Times New Roman"/>
          <w:b/>
          <w:bCs/>
          <w:iCs/>
          <w:sz w:val="24"/>
          <w:szCs w:val="24"/>
          <w:lang w:val="x-none" w:eastAsia="x-none"/>
        </w:rPr>
        <w:t>Agency Contacts</w:t>
      </w:r>
    </w:p>
    <w:p w14:paraId="7DB9BD27" w14:textId="77777777" w:rsidR="004B3593" w:rsidRPr="004B3593" w:rsidRDefault="004B3593" w:rsidP="004B3593">
      <w:pPr>
        <w:keepNext/>
        <w:spacing w:before="240" w:after="60" w:line="240" w:lineRule="auto"/>
        <w:outlineLvl w:val="1"/>
        <w:rPr>
          <w:rFonts w:ascii="Times New Roman" w:eastAsia="Times New Roman" w:hAnsi="Times New Roman" w:cs="Times New Roman"/>
          <w:bCs/>
          <w:iCs/>
          <w:sz w:val="24"/>
          <w:szCs w:val="24"/>
          <w:u w:val="single"/>
          <w:lang w:eastAsia="x-none"/>
        </w:rPr>
      </w:pPr>
      <w:r w:rsidRPr="004B3593">
        <w:rPr>
          <w:rFonts w:ascii="Times New Roman" w:eastAsia="Times New Roman" w:hAnsi="Times New Roman" w:cs="Times New Roman"/>
          <w:bCs/>
          <w:iCs/>
          <w:sz w:val="24"/>
          <w:szCs w:val="24"/>
          <w:u w:val="single"/>
          <w:lang w:val="x-none" w:eastAsia="x-none"/>
        </w:rPr>
        <w:t xml:space="preserve">Contractual </w:t>
      </w:r>
      <w:r w:rsidRPr="004B3593">
        <w:rPr>
          <w:rFonts w:ascii="Times New Roman" w:eastAsia="Times New Roman" w:hAnsi="Times New Roman" w:cs="Times New Roman"/>
          <w:bCs/>
          <w:iCs/>
          <w:sz w:val="24"/>
          <w:szCs w:val="24"/>
          <w:u w:val="single"/>
          <w:lang w:eastAsia="x-none"/>
        </w:rPr>
        <w:t xml:space="preserve">Point of </w:t>
      </w:r>
      <w:r w:rsidRPr="004B3593">
        <w:rPr>
          <w:rFonts w:ascii="Times New Roman" w:eastAsia="Times New Roman" w:hAnsi="Times New Roman" w:cs="Times New Roman"/>
          <w:bCs/>
          <w:iCs/>
          <w:sz w:val="24"/>
          <w:szCs w:val="24"/>
          <w:u w:val="single"/>
          <w:lang w:val="x-none" w:eastAsia="x-none"/>
        </w:rPr>
        <w:t>Contact</w:t>
      </w:r>
      <w:r w:rsidRPr="004B3593">
        <w:rPr>
          <w:rFonts w:ascii="Times New Roman" w:eastAsia="Times New Roman" w:hAnsi="Times New Roman" w:cs="Times New Roman"/>
          <w:bCs/>
          <w:iCs/>
          <w:sz w:val="24"/>
          <w:szCs w:val="24"/>
          <w:u w:val="single"/>
          <w:lang w:eastAsia="x-none"/>
        </w:rPr>
        <w:t>:</w:t>
      </w:r>
    </w:p>
    <w:p w14:paraId="599A73E2"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Faith D. Graves  </w:t>
      </w:r>
    </w:p>
    <w:p w14:paraId="155C828A"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CESU Contract Specialist  </w:t>
      </w:r>
    </w:p>
    <w:p w14:paraId="1908AF05"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U.S. Geological Survey</w:t>
      </w:r>
    </w:p>
    <w:p w14:paraId="7D2EFFD8"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Mail Stop 205G  </w:t>
      </w:r>
    </w:p>
    <w:p w14:paraId="0F1A080B"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12201 Sunrise Valley Drive  </w:t>
      </w:r>
    </w:p>
    <w:p w14:paraId="74B34A29"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Reston, VA 20192  </w:t>
      </w:r>
    </w:p>
    <w:p w14:paraId="1D3101A1"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Phone: (703) 648-7356 </w:t>
      </w:r>
    </w:p>
    <w:p w14:paraId="7C184557"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Fax: (703) 648-7901  </w:t>
      </w:r>
    </w:p>
    <w:p w14:paraId="4A29223A" w14:textId="77777777" w:rsidR="004B3593" w:rsidRPr="004B3593" w:rsidRDefault="004B3593" w:rsidP="004B3593">
      <w:pPr>
        <w:spacing w:after="0" w:line="240" w:lineRule="auto"/>
        <w:rPr>
          <w:rFonts w:ascii="Times New Roman" w:eastAsia="Times New Roman" w:hAnsi="Times New Roman" w:cs="Times New Roman"/>
          <w:sz w:val="24"/>
          <w:szCs w:val="24"/>
        </w:rPr>
      </w:pPr>
      <w:r w:rsidRPr="004B3593">
        <w:rPr>
          <w:rFonts w:ascii="Times New Roman" w:eastAsia="Times New Roman" w:hAnsi="Times New Roman" w:cs="Times New Roman"/>
          <w:sz w:val="24"/>
          <w:szCs w:val="24"/>
        </w:rPr>
        <w:t xml:space="preserve">Email: </w:t>
      </w:r>
      <w:hyperlink r:id="rId12" w:history="1">
        <w:r w:rsidRPr="004B3593">
          <w:rPr>
            <w:rFonts w:ascii="Times New Roman" w:eastAsia="Times New Roman" w:hAnsi="Times New Roman" w:cs="Times New Roman"/>
            <w:color w:val="0000FF"/>
            <w:sz w:val="24"/>
            <w:szCs w:val="24"/>
            <w:u w:val="single"/>
          </w:rPr>
          <w:t>fgraves@usgs.gov</w:t>
        </w:r>
      </w:hyperlink>
    </w:p>
    <w:bookmarkEnd w:id="6"/>
    <w:p w14:paraId="43BBD118" w14:textId="4CA5ACF5" w:rsidR="0069198E" w:rsidRDefault="0069198E" w:rsidP="004B3593">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11FEC"/>
    <w:multiLevelType w:val="hybridMultilevel"/>
    <w:tmpl w:val="7E5E7D04"/>
    <w:lvl w:ilvl="0" w:tplc="81F2914E">
      <w:start w:val="1"/>
      <w:numFmt w:val="decimal"/>
      <w:lvlText w:val="%1."/>
      <w:lvlJc w:val="left"/>
      <w:pPr>
        <w:ind w:left="990" w:hanging="360"/>
      </w:pPr>
      <w:rPr>
        <w:rFonts w:hint="default"/>
        <w:b w:val="0"/>
        <w:bCs/>
      </w:rPr>
    </w:lvl>
    <w:lvl w:ilvl="1" w:tplc="3B660932">
      <w:start w:val="1"/>
      <w:numFmt w:val="decimal"/>
      <w:lvlText w:val="%2."/>
      <w:lvlJc w:val="left"/>
      <w:pPr>
        <w:ind w:left="1710" w:hanging="360"/>
      </w:pPr>
      <w:rPr>
        <w:rFonts w:ascii="Times New Roman" w:eastAsiaTheme="minorHAnsi" w:hAnsi="Times New Roman" w:cs="Times New Roman"/>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52F4BBE"/>
    <w:multiLevelType w:val="hybridMultilevel"/>
    <w:tmpl w:val="7E5E7D04"/>
    <w:lvl w:ilvl="0" w:tplc="FFFFFFFF">
      <w:start w:val="1"/>
      <w:numFmt w:val="decimal"/>
      <w:lvlText w:val="%1."/>
      <w:lvlJc w:val="left"/>
      <w:pPr>
        <w:ind w:left="720" w:hanging="360"/>
      </w:pPr>
      <w:rPr>
        <w:rFonts w:hint="default"/>
        <w:b w:val="0"/>
        <w:bCs/>
      </w:rPr>
    </w:lvl>
    <w:lvl w:ilvl="1" w:tplc="FFFFFFFF">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0851791">
    <w:abstractNumId w:val="7"/>
  </w:num>
  <w:num w:numId="2" w16cid:durableId="1663240795">
    <w:abstractNumId w:val="3"/>
  </w:num>
  <w:num w:numId="3" w16cid:durableId="324625120">
    <w:abstractNumId w:val="5"/>
  </w:num>
  <w:num w:numId="4" w16cid:durableId="268045091">
    <w:abstractNumId w:val="2"/>
  </w:num>
  <w:num w:numId="5" w16cid:durableId="511458270">
    <w:abstractNumId w:val="4"/>
  </w:num>
  <w:num w:numId="6" w16cid:durableId="313948733">
    <w:abstractNumId w:val="1"/>
  </w:num>
  <w:num w:numId="7" w16cid:durableId="236088627">
    <w:abstractNumId w:val="0"/>
  </w:num>
  <w:num w:numId="8" w16cid:durableId="1925916705">
    <w:abstractNumId w:val="6"/>
  </w:num>
  <w:num w:numId="9" w16cid:durableId="1335500679">
    <w:abstractNumId w:val="8"/>
  </w:num>
  <w:num w:numId="10" w16cid:durableId="2113473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3565B"/>
    <w:rsid w:val="00047BEC"/>
    <w:rsid w:val="00076EF3"/>
    <w:rsid w:val="00095003"/>
    <w:rsid w:val="000F6846"/>
    <w:rsid w:val="00101895"/>
    <w:rsid w:val="00121B9E"/>
    <w:rsid w:val="00150F41"/>
    <w:rsid w:val="00153424"/>
    <w:rsid w:val="00162952"/>
    <w:rsid w:val="001D0CF3"/>
    <w:rsid w:val="002203B0"/>
    <w:rsid w:val="00225E3E"/>
    <w:rsid w:val="00232B61"/>
    <w:rsid w:val="002821D7"/>
    <w:rsid w:val="002851E7"/>
    <w:rsid w:val="002C05BA"/>
    <w:rsid w:val="003042BD"/>
    <w:rsid w:val="0036652B"/>
    <w:rsid w:val="00372631"/>
    <w:rsid w:val="003921DD"/>
    <w:rsid w:val="00396701"/>
    <w:rsid w:val="003C31B0"/>
    <w:rsid w:val="00404A78"/>
    <w:rsid w:val="00437EF2"/>
    <w:rsid w:val="004720F6"/>
    <w:rsid w:val="00474987"/>
    <w:rsid w:val="004A33F5"/>
    <w:rsid w:val="004A363A"/>
    <w:rsid w:val="004B3593"/>
    <w:rsid w:val="004C6558"/>
    <w:rsid w:val="004F50F3"/>
    <w:rsid w:val="00504135"/>
    <w:rsid w:val="005059B7"/>
    <w:rsid w:val="00505F7A"/>
    <w:rsid w:val="005163F9"/>
    <w:rsid w:val="005569D7"/>
    <w:rsid w:val="005735A5"/>
    <w:rsid w:val="005D6CC9"/>
    <w:rsid w:val="00602831"/>
    <w:rsid w:val="00604DD4"/>
    <w:rsid w:val="00627ADF"/>
    <w:rsid w:val="00651EC8"/>
    <w:rsid w:val="00680A19"/>
    <w:rsid w:val="0069198E"/>
    <w:rsid w:val="006D0834"/>
    <w:rsid w:val="006E0C6D"/>
    <w:rsid w:val="006F3D47"/>
    <w:rsid w:val="007579DB"/>
    <w:rsid w:val="00763C8B"/>
    <w:rsid w:val="00790A4E"/>
    <w:rsid w:val="007C4E5D"/>
    <w:rsid w:val="007D0B66"/>
    <w:rsid w:val="007F1D0D"/>
    <w:rsid w:val="007F3E82"/>
    <w:rsid w:val="008318FC"/>
    <w:rsid w:val="008445F9"/>
    <w:rsid w:val="00884D6A"/>
    <w:rsid w:val="008A5B25"/>
    <w:rsid w:val="008C51C7"/>
    <w:rsid w:val="008E0AEC"/>
    <w:rsid w:val="008E450F"/>
    <w:rsid w:val="008F51E0"/>
    <w:rsid w:val="00965E8A"/>
    <w:rsid w:val="0098767A"/>
    <w:rsid w:val="00992F19"/>
    <w:rsid w:val="009B3596"/>
    <w:rsid w:val="009E08C3"/>
    <w:rsid w:val="009E30F1"/>
    <w:rsid w:val="00A437A3"/>
    <w:rsid w:val="00A676B8"/>
    <w:rsid w:val="00AA0684"/>
    <w:rsid w:val="00AE28B8"/>
    <w:rsid w:val="00AE7065"/>
    <w:rsid w:val="00AE7DC1"/>
    <w:rsid w:val="00B40C57"/>
    <w:rsid w:val="00B43B3B"/>
    <w:rsid w:val="00B81221"/>
    <w:rsid w:val="00B84296"/>
    <w:rsid w:val="00B87719"/>
    <w:rsid w:val="00B91D5D"/>
    <w:rsid w:val="00BA2A2A"/>
    <w:rsid w:val="00BA6216"/>
    <w:rsid w:val="00BB71F8"/>
    <w:rsid w:val="00BE78AA"/>
    <w:rsid w:val="00C06BE0"/>
    <w:rsid w:val="00C46D75"/>
    <w:rsid w:val="00C50AB8"/>
    <w:rsid w:val="00C51B5C"/>
    <w:rsid w:val="00C67C1D"/>
    <w:rsid w:val="00C91A2F"/>
    <w:rsid w:val="00CA407A"/>
    <w:rsid w:val="00CB10D9"/>
    <w:rsid w:val="00CD2C6C"/>
    <w:rsid w:val="00D05B25"/>
    <w:rsid w:val="00D132F4"/>
    <w:rsid w:val="00D55520"/>
    <w:rsid w:val="00D5608E"/>
    <w:rsid w:val="00D57E9B"/>
    <w:rsid w:val="00D67895"/>
    <w:rsid w:val="00DA3D3B"/>
    <w:rsid w:val="00DA6C59"/>
    <w:rsid w:val="00E1790C"/>
    <w:rsid w:val="00F30762"/>
    <w:rsid w:val="00F6092F"/>
    <w:rsid w:val="00F6741B"/>
    <w:rsid w:val="00FA7932"/>
    <w:rsid w:val="00FC1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 w:type="character" w:styleId="Hyperlink">
    <w:name w:val="Hyperlink"/>
    <w:uiPriority w:val="99"/>
    <w:rsid w:val="0003565B"/>
    <w:rPr>
      <w:color w:val="0000FF"/>
      <w:u w:val="single"/>
    </w:rPr>
  </w:style>
  <w:style w:type="paragraph" w:styleId="Bibliography">
    <w:name w:val="Bibliography"/>
    <w:basedOn w:val="Normal"/>
    <w:next w:val="Normal"/>
    <w:uiPriority w:val="37"/>
    <w:unhideWhenUsed/>
    <w:rsid w:val="007F1D0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raves@usg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p.gov" TargetMode="External"/><Relationship Id="rId5" Type="http://schemas.openxmlformats.org/officeDocument/2006/relationships/numbering" Target="numbering.xml"/><Relationship Id="rId10" Type="http://schemas.openxmlformats.org/officeDocument/2006/relationships/hyperlink" Target="http://www.usgs.gov/datamanagement/plan/dmplans.php" TargetMode="External"/><Relationship Id="rId4" Type="http://schemas.openxmlformats.org/officeDocument/2006/relationships/customXml" Target="../customXml/item4.xml"/><Relationship Id="rId9" Type="http://schemas.openxmlformats.org/officeDocument/2006/relationships/hyperlink" Target="https://www.nass.usda.gov/Surveys/Guide_to_NASS_Surveys/Chemical_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B4072C24AA4B04985686B25A6442C96" ma:contentTypeVersion="9" ma:contentTypeDescription="Create a new document." ma:contentTypeScope="" ma:versionID="7725ec337b1f9f0d6b8792b5d5c2366a">
  <xsd:schema xmlns:xsd="http://www.w3.org/2001/XMLSchema" xmlns:xs="http://www.w3.org/2001/XMLSchema" xmlns:p="http://schemas.microsoft.com/office/2006/metadata/properties" xmlns:ns2="a794fb1d-bf81-475d-9bed-bfe82c954860" xmlns:ns3="8a76f6df-b096-4c72-a1e8-ab4330e6788a" xmlns:ns4="31062a0d-ede8-4112-b4bb-00a9c1bc8e16" targetNamespace="http://schemas.microsoft.com/office/2006/metadata/properties" ma:root="true" ma:fieldsID="50e9509747698d8a5255deb3449666dd" ns2:_="" ns3:_="" ns4:_="">
    <xsd:import namespace="a794fb1d-bf81-475d-9bed-bfe82c954860"/>
    <xsd:import namespace="8a76f6df-b096-4c72-a1e8-ab4330e6788a"/>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Ref_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4fb1d-bf81-475d-9bed-bfe82c9548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76f6df-b096-4c72-a1e8-ab4330e6788a" elementFormDefault="qualified">
    <xsd:import namespace="http://schemas.microsoft.com/office/2006/documentManagement/types"/>
    <xsd:import namespace="http://schemas.microsoft.com/office/infopath/2007/PartnerControls"/>
    <xsd:element name="Ref_ID" ma:index="11" nillable="true" ma:displayName="Ref_ID" ma:format="Dropdown" ma:internalName="Ref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b4237-38f2-42b0-bfdf-47d2aca84d9c}" ma:internalName="TaxCatchAll" ma:showField="CatchAllData" ma:web="a794fb1d-bf81-475d-9bed-bfe82c95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f_ID xmlns="8a76f6df-b096-4c72-a1e8-ab4330e6788a" xsi:nil="true"/>
    <lcf76f155ced4ddcb4097134ff3c332f xmlns="8a76f6df-b096-4c72-a1e8-ab4330e6788a">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D5480160-59B9-41D0-84A2-DF05FDF9ABE8}">
  <ds:schemaRefs>
    <ds:schemaRef ds:uri="http://schemas.microsoft.com/sharepoint/events"/>
  </ds:schemaRefs>
</ds:datastoreItem>
</file>

<file path=customXml/itemProps2.xml><?xml version="1.0" encoding="utf-8"?>
<ds:datastoreItem xmlns:ds="http://schemas.openxmlformats.org/officeDocument/2006/customXml" ds:itemID="{04F20FE0-CF0F-4935-821C-4A9C5DE54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4fb1d-bf81-475d-9bed-bfe82c954860"/>
    <ds:schemaRef ds:uri="8a76f6df-b096-4c72-a1e8-ab4330e6788a"/>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4166D-576F-4CF3-9EDB-45005290E965}">
  <ds:schemaRefs>
    <ds:schemaRef ds:uri="http://schemas.microsoft.com/sharepoint/v3/contenttype/forms"/>
  </ds:schemaRefs>
</ds:datastoreItem>
</file>

<file path=customXml/itemProps4.xml><?xml version="1.0" encoding="utf-8"?>
<ds:datastoreItem xmlns:ds="http://schemas.openxmlformats.org/officeDocument/2006/customXml" ds:itemID="{0DAFEE90-8A8A-41A4-ACF1-FB79FE8FFAFA}">
  <ds:schemaRefs>
    <ds:schemaRef ds:uri="http://schemas.microsoft.com/office/2006/metadata/properties"/>
    <ds:schemaRef ds:uri="http://schemas.microsoft.com/office/infopath/2007/PartnerControls"/>
    <ds:schemaRef ds:uri="8a76f6df-b096-4c72-a1e8-ab4330e6788a"/>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16286</Words>
  <Characters>92835</Characters>
  <Application>Microsoft Office Word</Application>
  <DocSecurity>4</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2</cp:revision>
  <dcterms:created xsi:type="dcterms:W3CDTF">2023-11-07T16:10:00Z</dcterms:created>
  <dcterms:modified xsi:type="dcterms:W3CDTF">2023-11-07T16:10:00Z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id="KeHCESEx"/&gt;&lt;style id="http://www.zotero.org/styles/molecular-ecology"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