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A3A" w:rsidRPr="00EC0B59" w:rsidRDefault="00AF5A3A" w:rsidP="00AF5A3A">
      <w:pPr>
        <w:pStyle w:val="RFPHeading2"/>
        <w:jc w:val="center"/>
        <w:rPr>
          <w:szCs w:val="28"/>
        </w:rPr>
      </w:pPr>
      <w:bookmarkStart w:id="0" w:name="_GoBack"/>
      <w:bookmarkEnd w:id="0"/>
      <w:r>
        <w:rPr>
          <w:szCs w:val="28"/>
        </w:rPr>
        <w:t>Risk Analysis</w:t>
      </w:r>
      <w:r w:rsidRPr="00054BEF">
        <w:rPr>
          <w:szCs w:val="28"/>
        </w:rPr>
        <w:t xml:space="preserve"> T</w:t>
      </w:r>
      <w:r>
        <w:rPr>
          <w:szCs w:val="28"/>
        </w:rPr>
        <w:t>emplate</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purpose of the risk analysis is to identify the internal and external risks associated with the proposed project in the application, rate the likelihood of the risks, rate the potential impact of the risks on the project, and identify actions that could help mitigate the risks. A risk analysis should not be considered a one-time exercise or a static document. PRM defers to organizations to conduct adequate risk analysis and remediation for all of its operations and advises that risk analysis and remediation occur throughout the life of a project and should result in revisions to risk analysis documents and processes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as “High,” “Medium,” or “Low.” Additional lines can be included in the risk analysis table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4"/>
        <w:gridCol w:w="1513"/>
        <w:gridCol w:w="1435"/>
        <w:gridCol w:w="1390"/>
        <w:gridCol w:w="1972"/>
      </w:tblGrid>
      <w:tr w:rsidR="00AF5A3A" w:rsidRPr="00A064A6" w:rsidTr="006A7045">
        <w:tc>
          <w:tcPr>
            <w:tcW w:w="1687" w:type="pct"/>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Description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Likelihood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Potential Impact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Risk Mitigation Plans/Actions</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Objectives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Outcomes/Outputs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Organization</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Safety and Security of Personnel</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rsidR="009106F8" w:rsidRDefault="00F70E90"/>
    <w:sectPr w:rsidR="00910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E90" w:rsidRDefault="00F70E90" w:rsidP="00F70E90">
      <w:r>
        <w:separator/>
      </w:r>
    </w:p>
  </w:endnote>
  <w:endnote w:type="continuationSeparator" w:id="0">
    <w:p w:rsidR="00F70E90" w:rsidRDefault="00F70E90" w:rsidP="00F70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E90" w:rsidRDefault="00F70E90" w:rsidP="00F70E90">
      <w:r>
        <w:separator/>
      </w:r>
    </w:p>
  </w:footnote>
  <w:footnote w:type="continuationSeparator" w:id="0">
    <w:p w:rsidR="00F70E90" w:rsidRDefault="00F70E90" w:rsidP="00F70E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A3A"/>
    <w:rsid w:val="001D2F81"/>
    <w:rsid w:val="00440168"/>
    <w:rsid w:val="006A7045"/>
    <w:rsid w:val="00AF5A3A"/>
    <w:rsid w:val="00DC19E7"/>
    <w:rsid w:val="00F7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0F1980-3572-41E6-943A-E8EDB51F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Holly Herrera</cp:lastModifiedBy>
  <cp:revision>2</cp:revision>
  <dcterms:created xsi:type="dcterms:W3CDTF">2020-10-29T23:11:00Z</dcterms:created>
  <dcterms:modified xsi:type="dcterms:W3CDTF">2020-10-29T23:11:00Z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HerreraHA@state.gov</vt:lpwstr>
  </property>
  <property fmtid="{D5CDD505-2E9C-101B-9397-08002B2CF9AE}" pid="5" name="MSIP_Label_1665d9ee-429a-4d5f-97cc-cfb56e044a6e_SetDate">
    <vt:lpwstr>2020-10-29T23:11:20.5639846Z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52af62d9-801b-4131-bbb4-294df572812a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