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5C628100"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bookmarkStart w:id="0" w:name="_Hlk129678399"/>
      <w:r w:rsidR="00D67B72" w:rsidRPr="00D67B72">
        <w:rPr>
          <w:rFonts w:asciiTheme="minorHAnsi" w:eastAsia="Times New Roman" w:hAnsiTheme="minorHAnsi" w:cstheme="minorHAnsi"/>
          <w:sz w:val="24"/>
          <w:szCs w:val="24"/>
        </w:rPr>
        <w:t>DRL Survivor-Centered Conflict-Related Sexual Violence Documentation in Ukraine</w:t>
      </w:r>
      <w:bookmarkEnd w:id="0"/>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6B840E00"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r w:rsidR="005A75AB" w:rsidRPr="005A75AB">
        <w:rPr>
          <w:rFonts w:asciiTheme="minorHAnsi" w:eastAsia="Times New Roman" w:hAnsiTheme="minorHAnsi" w:cstheme="minorHAnsi"/>
          <w:sz w:val="24"/>
          <w:szCs w:val="24"/>
        </w:rPr>
        <w:t>SFOP0009516</w:t>
      </w:r>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690E7111"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303ABC">
        <w:rPr>
          <w:rFonts w:asciiTheme="minorHAnsi" w:eastAsia="Times New Roman" w:hAnsiTheme="minorHAnsi" w:cstheme="minorHAnsi"/>
          <w:sz w:val="24"/>
          <w:szCs w:val="24"/>
        </w:rPr>
        <w:t>Wednesday</w:t>
      </w:r>
      <w:r w:rsidR="0062465D" w:rsidRPr="00AD1D9D">
        <w:rPr>
          <w:rFonts w:asciiTheme="minorHAnsi" w:eastAsia="Times New Roman" w:hAnsiTheme="minorHAnsi" w:cstheme="minorHAnsi"/>
          <w:sz w:val="24"/>
          <w:szCs w:val="24"/>
        </w:rPr>
        <w:t xml:space="preserve">, </w:t>
      </w:r>
      <w:r w:rsidR="00303ABC">
        <w:rPr>
          <w:rFonts w:asciiTheme="minorHAnsi" w:eastAsia="Times New Roman" w:hAnsiTheme="minorHAnsi" w:cstheme="minorHAnsi"/>
          <w:sz w:val="24"/>
          <w:szCs w:val="24"/>
        </w:rPr>
        <w:t>May 17</w:t>
      </w:r>
      <w:r w:rsidR="0062465D" w:rsidRPr="00AD1D9D">
        <w:rPr>
          <w:rFonts w:asciiTheme="minorHAnsi" w:eastAsia="Times New Roman" w:hAnsiTheme="minorHAnsi" w:cstheme="minorHAnsi"/>
          <w:sz w:val="24"/>
          <w:szCs w:val="24"/>
        </w:rPr>
        <w:t xml:space="preserve">, </w:t>
      </w:r>
      <w:r w:rsidR="00303ABC">
        <w:rPr>
          <w:rFonts w:asciiTheme="minorHAnsi" w:eastAsia="Times New Roman" w:hAnsiTheme="minorHAnsi" w:cstheme="minorHAnsi"/>
          <w:sz w:val="24"/>
          <w:szCs w:val="24"/>
        </w:rPr>
        <w:t>2023</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0B0C0AD4" w14:textId="37CA82D6" w:rsidR="009B305D" w:rsidRPr="00AD1D9D" w:rsidRDefault="009A3438">
      <w:pPr>
        <w:spacing w:after="0" w:line="240" w:lineRule="auto"/>
        <w:rPr>
          <w:rFonts w:asciiTheme="minorHAnsi" w:eastAsia="Times New Roman" w:hAnsiTheme="minorHAnsi" w:cstheme="minorHAnsi"/>
          <w:sz w:val="24"/>
          <w:szCs w:val="24"/>
        </w:rPr>
      </w:pPr>
      <w:bookmarkStart w:id="1" w:name="_Hlk87978837"/>
      <w:r w:rsidRPr="00AD1D9D">
        <w:rPr>
          <w:rFonts w:asciiTheme="minorHAnsi" w:eastAsia="Times New Roman" w:hAnsiTheme="minorHAnsi" w:cstheme="minorHAnsi"/>
          <w:b/>
          <w:bCs/>
          <w:sz w:val="24"/>
          <w:szCs w:val="24"/>
        </w:rPr>
        <w:t xml:space="preserve">Total </w:t>
      </w:r>
      <w:r w:rsidR="009B305D" w:rsidRPr="00AD1D9D">
        <w:rPr>
          <w:rFonts w:asciiTheme="minorHAnsi" w:eastAsia="Times New Roman" w:hAnsiTheme="minorHAnsi" w:cstheme="minorHAnsi"/>
          <w:b/>
          <w:bCs/>
          <w:sz w:val="24"/>
          <w:szCs w:val="24"/>
        </w:rPr>
        <w:t>Funding Floor</w:t>
      </w:r>
      <w:r w:rsidR="003221AC" w:rsidRPr="00AD1D9D">
        <w:rPr>
          <w:rFonts w:asciiTheme="minorHAnsi" w:eastAsia="Times New Roman" w:hAnsiTheme="minorHAnsi" w:cstheme="minorHAnsi"/>
          <w:b/>
          <w:bCs/>
          <w:sz w:val="24"/>
          <w:szCs w:val="24"/>
        </w:rPr>
        <w:t xml:space="preserve">:  </w:t>
      </w:r>
      <w:r w:rsidR="0062465D" w:rsidRPr="00AD1D9D">
        <w:rPr>
          <w:rFonts w:asciiTheme="minorHAnsi" w:eastAsia="Times New Roman" w:hAnsiTheme="minorHAnsi" w:cstheme="minorHAnsi"/>
          <w:sz w:val="24"/>
          <w:szCs w:val="24"/>
        </w:rPr>
        <w:t>$</w:t>
      </w:r>
      <w:r w:rsidR="00D67B72">
        <w:rPr>
          <w:rFonts w:asciiTheme="minorHAnsi" w:eastAsia="Times New Roman" w:hAnsiTheme="minorHAnsi" w:cstheme="minorHAnsi"/>
          <w:sz w:val="24"/>
          <w:szCs w:val="24"/>
        </w:rPr>
        <w:t>1,481,481</w:t>
      </w:r>
    </w:p>
    <w:p w14:paraId="68081120" w14:textId="77777777" w:rsidR="009B305D" w:rsidRPr="00AD1D9D" w:rsidRDefault="009B305D">
      <w:pPr>
        <w:spacing w:after="0" w:line="240" w:lineRule="auto"/>
        <w:rPr>
          <w:rFonts w:asciiTheme="minorHAnsi" w:eastAsia="Times New Roman" w:hAnsiTheme="minorHAnsi" w:cstheme="minorHAnsi"/>
          <w:b/>
          <w:sz w:val="24"/>
          <w:szCs w:val="24"/>
        </w:rPr>
      </w:pPr>
    </w:p>
    <w:p w14:paraId="1885D59D" w14:textId="00C93D68" w:rsidR="009B305D" w:rsidRPr="00AD1D9D" w:rsidRDefault="009A343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w:t>
      </w:r>
      <w:r w:rsidR="009B305D" w:rsidRPr="00AD1D9D">
        <w:rPr>
          <w:rFonts w:asciiTheme="minorHAnsi" w:eastAsia="Times New Roman" w:hAnsiTheme="minorHAnsi" w:cstheme="minorHAnsi"/>
          <w:b/>
          <w:sz w:val="24"/>
          <w:szCs w:val="24"/>
        </w:rPr>
        <w:t>Funding Ceiling</w:t>
      </w:r>
      <w:r w:rsidR="0062465D" w:rsidRPr="00AD1D9D">
        <w:rPr>
          <w:rFonts w:asciiTheme="minorHAnsi" w:eastAsia="Times New Roman" w:hAnsiTheme="minorHAnsi" w:cstheme="minorHAnsi"/>
          <w:b/>
          <w:sz w:val="24"/>
          <w:szCs w:val="24"/>
        </w:rPr>
        <w:t xml:space="preserve">:  </w:t>
      </w:r>
      <w:r w:rsidR="0062465D" w:rsidRPr="00AD1D9D">
        <w:rPr>
          <w:rFonts w:asciiTheme="minorHAnsi" w:eastAsia="Times New Roman" w:hAnsiTheme="minorHAnsi" w:cstheme="minorHAnsi"/>
          <w:sz w:val="24"/>
          <w:szCs w:val="24"/>
        </w:rPr>
        <w:t>$</w:t>
      </w:r>
      <w:r w:rsidR="00D67B72">
        <w:rPr>
          <w:rFonts w:asciiTheme="minorHAnsi" w:eastAsia="Times New Roman" w:hAnsiTheme="minorHAnsi" w:cstheme="minorHAnsi"/>
          <w:sz w:val="24"/>
          <w:szCs w:val="24"/>
        </w:rPr>
        <w:t>1,481,481</w:t>
      </w:r>
    </w:p>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20F7FD29"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D67B72">
        <w:rPr>
          <w:rFonts w:asciiTheme="minorHAnsi" w:eastAsia="Times New Roman" w:hAnsiTheme="minorHAnsi" w:cstheme="minorHAnsi"/>
          <w:sz w:val="24"/>
          <w:szCs w:val="24"/>
        </w:rPr>
        <w:t>1-2</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23443000"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D67B72">
        <w:rPr>
          <w:rFonts w:asciiTheme="minorHAnsi" w:hAnsiTheme="minorHAnsi" w:cstheme="minorHAnsi"/>
          <w:sz w:val="24"/>
          <w:szCs w:val="24"/>
        </w:rPr>
        <w:t>Grant or Cooperative Agreement</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13742FAB"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D67B72">
        <w:rPr>
          <w:rFonts w:asciiTheme="minorHAnsi" w:eastAsia="Times New Roman" w:hAnsiTheme="minorHAnsi" w:cstheme="minorHAnsi"/>
          <w:sz w:val="24"/>
          <w:szCs w:val="24"/>
        </w:rPr>
        <w:t>18-24 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7C8D373D"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Pending Availability of Funds</w:t>
      </w:r>
      <w:r w:rsidRPr="00AD1D9D">
        <w:rPr>
          <w:rFonts w:asciiTheme="minorHAnsi" w:eastAsia="Times New Roman" w:hAnsiTheme="minorHAnsi" w:cstheme="minorHAnsi"/>
          <w:b/>
          <w:sz w:val="24"/>
          <w:szCs w:val="24"/>
        </w:rPr>
        <w:t>:</w:t>
      </w:r>
      <w:r w:rsidR="00443D30"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D67B72">
        <w:rPr>
          <w:rFonts w:asciiTheme="minorHAnsi" w:eastAsia="Times New Roman" w:hAnsiTheme="minorHAnsi" w:cstheme="minorHAnsi"/>
          <w:sz w:val="24"/>
          <w:szCs w:val="24"/>
        </w:rPr>
        <w:t>3-6 months</w:t>
      </w:r>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3879F7CA" w:rsidR="00290D8C" w:rsidRDefault="00290D8C">
      <w:pPr>
        <w:spacing w:after="0" w:line="240" w:lineRule="auto"/>
        <w:rPr>
          <w:rFonts w:asciiTheme="minorHAnsi" w:hAnsiTheme="minorHAnsi" w:cstheme="minorHAnsi"/>
          <w:sz w:val="24"/>
          <w:szCs w:val="24"/>
        </w:rPr>
      </w:pPr>
    </w:p>
    <w:p w14:paraId="64F4AAB9"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In response to Russia’s unprovoked full-scale invasion of Ukraine and reports of prevalent and devastating conflict-related sexual violence (CRSV)</w:t>
      </w:r>
      <w:r w:rsidRPr="00D67B72">
        <w:rPr>
          <w:rFonts w:asciiTheme="minorHAnsi" w:hAnsiTheme="minorHAnsi" w:cstheme="minorHAnsi"/>
          <w:sz w:val="24"/>
          <w:szCs w:val="24"/>
          <w:vertAlign w:val="superscript"/>
        </w:rPr>
        <w:footnoteReference w:id="2"/>
      </w:r>
      <w:r w:rsidRPr="00D67B72">
        <w:rPr>
          <w:rFonts w:asciiTheme="minorHAnsi" w:hAnsiTheme="minorHAnsi" w:cstheme="minorHAnsi"/>
          <w:sz w:val="24"/>
          <w:szCs w:val="24"/>
        </w:rPr>
        <w:t>, the U.S. Department of State, Bureau of Democracy, Human Rights, and Labor (DRL) announces an open competition to organizations interested in submitting applications for survivor-centered and trauma informed</w:t>
      </w:r>
      <w:r w:rsidRPr="00D67B72">
        <w:rPr>
          <w:rFonts w:asciiTheme="minorHAnsi" w:hAnsiTheme="minorHAnsi" w:cstheme="minorHAnsi"/>
          <w:sz w:val="24"/>
          <w:szCs w:val="24"/>
          <w:vertAlign w:val="superscript"/>
        </w:rPr>
        <w:footnoteReference w:id="3"/>
      </w:r>
      <w:r w:rsidRPr="00D67B72">
        <w:rPr>
          <w:rFonts w:asciiTheme="minorHAnsi" w:hAnsiTheme="minorHAnsi" w:cstheme="minorHAnsi"/>
          <w:sz w:val="24"/>
          <w:szCs w:val="24"/>
        </w:rPr>
        <w:t xml:space="preserve"> projects that </w:t>
      </w:r>
      <w:r w:rsidRPr="00D67B72">
        <w:rPr>
          <w:rFonts w:asciiTheme="minorHAnsi" w:hAnsiTheme="minorHAnsi" w:cstheme="minorHAnsi"/>
          <w:sz w:val="24"/>
          <w:szCs w:val="24"/>
        </w:rPr>
        <w:lastRenderedPageBreak/>
        <w:t>strengthen civil society efforts to investigate and document CRSV crimes and abuses committed against Ukrainian citizens</w:t>
      </w:r>
      <w:r w:rsidRPr="00D67B72">
        <w:rPr>
          <w:rFonts w:asciiTheme="minorHAnsi" w:hAnsiTheme="minorHAnsi" w:cstheme="minorHAnsi"/>
          <w:sz w:val="24"/>
          <w:szCs w:val="24"/>
          <w:vertAlign w:val="superscript"/>
        </w:rPr>
        <w:footnoteReference w:id="4"/>
      </w:r>
      <w:r w:rsidRPr="00D67B72">
        <w:rPr>
          <w:rFonts w:asciiTheme="minorHAnsi" w:hAnsiTheme="minorHAnsi" w:cstheme="minorHAnsi"/>
          <w:sz w:val="24"/>
          <w:szCs w:val="24"/>
        </w:rPr>
        <w:t xml:space="preserve"> since February 2022.  Programming will advance the pursuit of truth and justice for victims and survivors, and accountability for crimes committed in violation of international human rights and humanitarian law. </w:t>
      </w:r>
    </w:p>
    <w:p w14:paraId="19467724" w14:textId="77777777" w:rsidR="00D67B72" w:rsidRPr="00D67B72" w:rsidRDefault="00D67B72" w:rsidP="00D67B72">
      <w:pPr>
        <w:spacing w:after="0" w:line="240" w:lineRule="auto"/>
        <w:rPr>
          <w:rFonts w:asciiTheme="minorHAnsi" w:hAnsiTheme="minorHAnsi" w:cstheme="minorHAnsi"/>
          <w:sz w:val="24"/>
          <w:szCs w:val="24"/>
        </w:rPr>
      </w:pPr>
    </w:p>
    <w:p w14:paraId="3F556430"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Russia’s ongoing, full-scale brutal war against Ukraine, which began on February 24, 2022, has inflicted grievous and catastrophic harm on civilians, inclusive of horrific CRSV crimes.  Among the numerous atrocities taking place, it is imperative in documenting CRSV crimes to preserve focus on the prioritization of the protection and support of survivors of conflict-related sexual violence and other particularly vulnerable groups, including children.  Ukrainian civil society groups and women and LGBTQI+ leaders are on the frontline of documenting and addressing CRSV, but report being sidelined from decision-making and funding, or receiving funding for narrow purposes and on timelines that do not allow them to support survivors, operate sustainably, or plan strategically.  In addition to sexual violence reported by women and girls and marginalized groups, the issue of male CRSV perpetrated against men and boys, is particularly prevalent (including in Russian operated detention centers) and must be comprehensively addressed.  Finally, staff are experiencing serious impacts to their physical and mental health, including primary and secondary trauma, and need innovative psychosocial support to be able to respond to CRSV.  </w:t>
      </w:r>
    </w:p>
    <w:p w14:paraId="49F1638C" w14:textId="77777777" w:rsidR="00D67B72" w:rsidRPr="00D67B72" w:rsidRDefault="00D67B72" w:rsidP="00D67B72">
      <w:pPr>
        <w:spacing w:after="0" w:line="240" w:lineRule="auto"/>
        <w:rPr>
          <w:rFonts w:asciiTheme="minorHAnsi" w:hAnsiTheme="minorHAnsi" w:cstheme="minorHAnsi"/>
          <w:sz w:val="24"/>
          <w:szCs w:val="24"/>
        </w:rPr>
      </w:pPr>
    </w:p>
    <w:p w14:paraId="4C84D118"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Attempts to document CRSV within traditional accountability and legal frameworks often fall short of considering the safety, wellbeing, and wishes of the survivors, which should include efforts such as avoiding unnecessary or duplicative interviews, providing mental health and psychosocial services, and adequate follow-on and referrals to support survivors and their service providers.  Furthermore, when not approached from a survivor-centered perspective, CRSV documentation efforts can have harmful unintended consequences (e.g., pressuring and retraumatizing survivors, creating survivor hierarchies, and overshadowing the larger gender-based violence epidemic).  Advancing survivor-centered approaches to justice and accountability, empowering survivor-focused organizations and survivors’ groups to identify ethical ways to publicly report on CRSV to inform accountability efforts is crucial.  Accordingly, </w:t>
      </w:r>
      <w:r w:rsidRPr="00D67B72">
        <w:rPr>
          <w:rFonts w:asciiTheme="minorHAnsi" w:hAnsiTheme="minorHAnsi" w:cstheme="minorHAnsi"/>
          <w:sz w:val="24"/>
          <w:szCs w:val="24"/>
        </w:rPr>
        <w:lastRenderedPageBreak/>
        <w:t xml:space="preserve">competitive proposals will reflect best practices in the documentation of CRSV from resources such as the International Protocol on the Documentation and Investigation of Sexual Violence in Conflict and the Murad Code, a global code of conduct with the key objective of respecting and supporting “survivors’ rights and ensuring that work with survivors to investigate, document, and record their experiences is safer, more ethical, and more effective in upholding their human rights.” </w:t>
      </w:r>
    </w:p>
    <w:p w14:paraId="1E565A64" w14:textId="77777777" w:rsidR="00D67B72" w:rsidRPr="00D67B72" w:rsidRDefault="00D67B72" w:rsidP="00D67B72">
      <w:pPr>
        <w:spacing w:after="0" w:line="240" w:lineRule="auto"/>
        <w:rPr>
          <w:rFonts w:asciiTheme="minorHAnsi" w:hAnsiTheme="minorHAnsi" w:cstheme="minorHAnsi"/>
          <w:sz w:val="24"/>
          <w:szCs w:val="24"/>
        </w:rPr>
      </w:pPr>
    </w:p>
    <w:p w14:paraId="49E89CB2"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A competitive project will build on existing locally led, survivor-centered documentation initiatives to collect information credibly, ethically, and professionally on CRSV in accordance with international human rights and international best practices.  </w:t>
      </w:r>
      <w:bookmarkStart w:id="2" w:name="_Hlk97715274"/>
      <w:r w:rsidRPr="00D67B72">
        <w:rPr>
          <w:rFonts w:asciiTheme="minorHAnsi" w:hAnsiTheme="minorHAnsi" w:cstheme="minorHAnsi"/>
          <w:sz w:val="24"/>
          <w:szCs w:val="24"/>
        </w:rPr>
        <w:t xml:space="preserve">The project should strengthen survivor-centered approaches to CRSV documentation efforts and existing networks to expand space for diverse Ukrainian civil society and survivors’ groups so that they may work together to develop and drive local, national, and international CRSV justice agendas, defined and determined by survivors.  </w:t>
      </w:r>
      <w:bookmarkEnd w:id="2"/>
      <w:r w:rsidRPr="00D67B72">
        <w:rPr>
          <w:rFonts w:asciiTheme="minorHAnsi" w:hAnsiTheme="minorHAnsi" w:cstheme="minorHAnsi"/>
          <w:sz w:val="24"/>
          <w:szCs w:val="24"/>
        </w:rPr>
        <w:t xml:space="preserve">The project should also focus on supporting sustainable coalitions of survivor-centered civil society and survivors’ groups to collaboratively define and pursue evolving truth, justice and accountability goals and explore and pursue a range of long-term transitional justice needs, including those outside of legal institutions.  Proposals should outline how international standards, including the Murad Code, will be implemented across program activities.  </w:t>
      </w:r>
    </w:p>
    <w:p w14:paraId="7BD03366" w14:textId="77777777" w:rsidR="00D67B72" w:rsidRPr="00D67B72" w:rsidRDefault="00D67B72" w:rsidP="00D67B72">
      <w:pPr>
        <w:spacing w:after="0" w:line="240" w:lineRule="auto"/>
        <w:rPr>
          <w:rFonts w:asciiTheme="minorHAnsi" w:hAnsiTheme="minorHAnsi" w:cstheme="minorHAnsi"/>
          <w:sz w:val="24"/>
          <w:szCs w:val="24"/>
        </w:rPr>
      </w:pPr>
    </w:p>
    <w:p w14:paraId="7D50CEFB"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The project will achieve the following desired objectives and outcomes:</w:t>
      </w:r>
    </w:p>
    <w:p w14:paraId="20216800"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Increased capacity of survivor-centered Ukrainian civil society and survivors’ groups—including women, men and LGBTQI+ led and serving organizations— using the highest applicable criminal process standards, to credibly and professionally document CRSV and prioritize survivors’ agency, dignity, privacy, physical, and emotional safety and active and informed consent, while upholding the wellbeing and wishes of survivors throughout the process</w:t>
      </w:r>
    </w:p>
    <w:p w14:paraId="3C9F825F"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Sustained support for survivors, victim’s families, and civil society staff involved in documentation and advocacy on CRSV, including critical access to direct psychosocial, legal, digital, physical safety and referral mental health services, and addressing survivors’ stigma, shame and fear</w:t>
      </w:r>
      <w:r w:rsidRPr="00D67B72">
        <w:rPr>
          <w:rFonts w:asciiTheme="minorHAnsi" w:hAnsiTheme="minorHAnsi" w:cstheme="minorHAnsi"/>
          <w:sz w:val="24"/>
          <w:szCs w:val="24"/>
          <w:vertAlign w:val="superscript"/>
        </w:rPr>
        <w:footnoteReference w:id="5"/>
      </w:r>
      <w:r w:rsidRPr="00D67B72">
        <w:rPr>
          <w:rFonts w:asciiTheme="minorHAnsi" w:hAnsiTheme="minorHAnsi" w:cstheme="minorHAnsi"/>
          <w:sz w:val="24"/>
          <w:szCs w:val="24"/>
        </w:rPr>
        <w:t xml:space="preserve"> through additional programming, protective services and assistance </w:t>
      </w:r>
    </w:p>
    <w:p w14:paraId="4E593D18"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Empowered and engaged CRSV survivors, survivors’ groups and families of survivors advocate for local, national, and international truth, justice and accountability processes reflective of self-determined justice, healing, and reconciliation needs</w:t>
      </w:r>
    </w:p>
    <w:p w14:paraId="50899F9A"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Effective engagement by and collaboration among key and diverse stakeholders who have a demonstrated commitment to CRSV documentation utilizing a range of truth, justice, and accountability tools to address past and ongoing CRSV </w:t>
      </w:r>
    </w:p>
    <w:p w14:paraId="4ABCC7A3"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Increased survivor-centered coordination, information sharing, and support: (1) among civil society and survivors’ groups inside and outside Ukraine; (2) between civil society, </w:t>
      </w:r>
      <w:r w:rsidRPr="00D67B72">
        <w:rPr>
          <w:rFonts w:asciiTheme="minorHAnsi" w:hAnsiTheme="minorHAnsi" w:cstheme="minorHAnsi"/>
          <w:sz w:val="24"/>
          <w:szCs w:val="24"/>
        </w:rPr>
        <w:lastRenderedPageBreak/>
        <w:t>survivors’ groups, the Atrocity Crimes Advisory Group (ACA) and the Government of Ukraine, including the Office of the Prosecutor General of Ukraine (OPG) and law enforcement authorities; and, (3) between civil society, survivors’ groups and United Nations entities such as OHCHR, UNHCR’s Protection Cluster, UNFPA’s GBV Sub-Cluster and other humanitarian service providers.</w:t>
      </w:r>
    </w:p>
    <w:p w14:paraId="4743993F" w14:textId="77777777" w:rsidR="00D67B72" w:rsidRPr="00D67B72" w:rsidRDefault="00D67B72" w:rsidP="00D67B72">
      <w:pPr>
        <w:numPr>
          <w:ilvl w:val="0"/>
          <w:numId w:val="33"/>
        </w:num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Longer-term planning for the safe and ethical preservation and use of collected information for current and future formal and informal truth, justice, and accountability efforts on behalf of and through the integration of CRSV survivors, survivors’ groups, and their families.</w:t>
      </w:r>
    </w:p>
    <w:p w14:paraId="075AE859" w14:textId="77777777" w:rsidR="00D67B72" w:rsidRPr="00D67B72" w:rsidRDefault="00D67B72" w:rsidP="00D67B72">
      <w:pPr>
        <w:spacing w:after="0" w:line="240" w:lineRule="auto"/>
        <w:rPr>
          <w:rFonts w:asciiTheme="minorHAnsi" w:hAnsiTheme="minorHAnsi" w:cstheme="minorHAnsi"/>
          <w:sz w:val="24"/>
          <w:szCs w:val="24"/>
        </w:rPr>
      </w:pPr>
    </w:p>
    <w:p w14:paraId="4590455F"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 xml:space="preserve">DRL is conscious of the volatile security situation in Ukraine.  A proven ability to implement programs in conflict/post-conflict environments and adherence to “do no harm” principles must be demonstrated by the applicant.  Proposals must realistically address the challenges and limitations that the applicant will likely face while implementing this program, both within the current context in Ukraine and relevant neighboring countries and in anticipation of a further evolving landscape. </w:t>
      </w:r>
    </w:p>
    <w:p w14:paraId="4AC21957" w14:textId="77777777" w:rsidR="00D67B72" w:rsidRPr="00D67B72" w:rsidRDefault="00D67B72" w:rsidP="00D67B72">
      <w:pPr>
        <w:spacing w:after="0" w:line="240" w:lineRule="auto"/>
        <w:rPr>
          <w:rFonts w:asciiTheme="minorHAnsi" w:hAnsiTheme="minorHAnsi" w:cstheme="minorHAnsi"/>
          <w:sz w:val="24"/>
          <w:szCs w:val="24"/>
        </w:rPr>
      </w:pPr>
    </w:p>
    <w:p w14:paraId="1352F18E" w14:textId="77777777" w:rsidR="00D67B72" w:rsidRPr="00D67B72" w:rsidRDefault="00D67B72" w:rsidP="00D67B72">
      <w:pPr>
        <w:spacing w:after="0" w:line="240" w:lineRule="auto"/>
        <w:rPr>
          <w:rFonts w:asciiTheme="minorHAnsi" w:hAnsiTheme="minorHAnsi" w:cstheme="minorHAnsi"/>
          <w:sz w:val="24"/>
          <w:szCs w:val="24"/>
        </w:rPr>
      </w:pPr>
      <w:r w:rsidRPr="00D67B72">
        <w:rPr>
          <w:rFonts w:asciiTheme="minorHAnsi" w:hAnsiTheme="minorHAnsi" w:cstheme="minorHAnsi"/>
          <w:sz w:val="24"/>
          <w:szCs w:val="24"/>
        </w:rPr>
        <w:t>Competitive proposals will prioritize partnerships with a variety of Ukrainian actors in program activities and fostering linkages amongst survivor-centered civil society, advocates, and survivors’ groups across and outside of Ukraine.  A competitive project will demonstrate substantial experience with truth, justice and accountability programming and CRSV, as well as an understanding of the CRSV context in Ukraine, including existing U.S. Government and other donor-funded efforts in the same or similar areas.  DRL seeks a project approach that prioritizes opportunities for sub-grants and other methods of support to address needs identified by survivors and local civil society stakeholders and ensure local buy-in and ownership.  Accordingly, the project must take an inclusive, victim and survivor-centered approach when designing documentation efforts aimed at encouraging broad community ownership and sustainability and meeting the truth and justice needs of individual survivors.</w:t>
      </w:r>
    </w:p>
    <w:p w14:paraId="3A23C1F2" w14:textId="77777777" w:rsidR="00D67B72" w:rsidRPr="00AD1D9D" w:rsidRDefault="00D67B72">
      <w:pPr>
        <w:spacing w:after="0" w:line="240" w:lineRule="auto"/>
        <w:rPr>
          <w:rFonts w:asciiTheme="minorHAnsi" w:hAnsiTheme="minorHAnsi" w:cstheme="minorHAnsi"/>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2DA419DE" w14:textId="0E9990B3" w:rsidR="0035360E" w:rsidRPr="00AD1D9D" w:rsidRDefault="348D2FAA" w:rsidP="00332CDC">
      <w:pPr>
        <w:pStyle w:val="NormalWeb"/>
        <w:shd w:val="clear" w:color="auto" w:fill="FFFFFF" w:themeFill="background1"/>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Competitive proposals may also include a summary budget and budget narrative for </w:t>
      </w:r>
      <w:r w:rsidR="00F106F1">
        <w:rPr>
          <w:rFonts w:asciiTheme="minorHAnsi" w:hAnsiTheme="minorHAnsi" w:cstheme="minorHAnsi"/>
        </w:rPr>
        <w:t>12</w:t>
      </w:r>
      <w:r w:rsidRPr="00AD1D9D">
        <w:rPr>
          <w:rFonts w:asciiTheme="minorHAnsi" w:hAnsiTheme="minorHAnsi" w:cstheme="minorHAnsi"/>
        </w:rPr>
        <w:t xml:space="preserve"> additional months following the proposed period of performance, indicated above.  This information should indicate what objective(s) and/or activities could be accomplished with additional time and/or funds beyond the proposed period of performance.</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Opportunities for beneficiaries to apply their new knowledge and skills in practical efforts</w:t>
      </w:r>
      <w:r w:rsidR="00137D7C" w:rsidRPr="00AD1D9D">
        <w:rPr>
          <w:rFonts w:asciiTheme="minorHAnsi" w:hAnsiTheme="minorHAnsi" w:cstheme="minorHAnsi"/>
        </w:rPr>
        <w:t>;</w:t>
      </w:r>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Solicitation of feedback and suggestions from beneficiaries when developing activities in order to strengthen the sustainability of programs and participant ownership of project outcomes</w:t>
      </w:r>
      <w:r w:rsidR="35173614" w:rsidRPr="00AD1D9D">
        <w:rPr>
          <w:rFonts w:asciiTheme="minorHAnsi" w:hAnsiTheme="minorHAnsi" w:cstheme="minorHAnsi"/>
        </w:rPr>
        <w:t>;</w:t>
      </w:r>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necessary</w:t>
      </w:r>
      <w:r w:rsidR="35173614" w:rsidRPr="00AD1D9D">
        <w:rPr>
          <w:rFonts w:asciiTheme="minorHAnsi" w:hAnsiTheme="minorHAnsi" w:cstheme="minorHAnsi"/>
        </w:rPr>
        <w:t>;</w:t>
      </w:r>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Inclusion of vulnerable populations</w:t>
      </w:r>
      <w:r w:rsidR="00137D7C" w:rsidRPr="00AD1D9D">
        <w:rPr>
          <w:rFonts w:asciiTheme="minorHAnsi" w:hAnsiTheme="minorHAnsi" w:cstheme="minorHAnsi"/>
        </w:rPr>
        <w:t>;</w:t>
      </w:r>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Joint identification and definition of key concepts with relevant stakeholders and stakeholder input into project activities</w:t>
      </w:r>
      <w:r w:rsidR="35173614" w:rsidRPr="00AD1D9D">
        <w:rPr>
          <w:rFonts w:asciiTheme="minorHAnsi" w:hAnsiTheme="minorHAnsi" w:cstheme="minorHAnsi"/>
        </w:rPr>
        <w:t>;</w:t>
      </w:r>
    </w:p>
    <w:p w14:paraId="6C24008C" w14:textId="2B75B9B9"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 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provision of humanitarian assistance;</w:t>
      </w:r>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English language instruction;</w:t>
      </w:r>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hardware;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fellowships;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months;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r w:rsidR="009662F2" w:rsidRPr="00AD1D9D">
        <w:rPr>
          <w:rFonts w:asciiTheme="minorHAnsi" w:eastAsia="Times New Roman" w:hAnsiTheme="minorHAnsi" w:cstheme="minorHAnsi"/>
          <w:sz w:val="24"/>
          <w:szCs w:val="24"/>
        </w:rPr>
        <w:t>concerns;</w:t>
      </w:r>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Micro-loans or similar small business development initiatives;</w:t>
      </w:r>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2B3FB741"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F106F1">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Active participation or collaboration with the recipient in the implementation of the award</w:t>
      </w:r>
      <w:r w:rsidR="009C4539" w:rsidRPr="00AD1D9D">
        <w:rPr>
          <w:rFonts w:asciiTheme="minorHAnsi" w:eastAsia="Times New Roman" w:hAnsiTheme="minorHAnsi" w:cstheme="minorHAnsi"/>
          <w:sz w:val="24"/>
          <w:szCs w:val="24"/>
        </w:rPr>
        <w:t>;</w:t>
      </w:r>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approval of one stage of work before another can begin</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policy</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lastRenderedPageBreak/>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w:t>
      </w:r>
      <w:r w:rsidRPr="00AD1D9D">
        <w:rPr>
          <w:rFonts w:asciiTheme="minorHAnsi" w:eastAsia="Times New Roman" w:hAnsiTheme="minorHAnsi" w:cstheme="minorHAnsi"/>
          <w:sz w:val="24"/>
          <w:szCs w:val="24"/>
        </w:rPr>
        <w:lastRenderedPageBreak/>
        <w:t xml:space="preserve">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4D6F5AE4"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F106F1" w:rsidRPr="00F106F1">
        <w:rPr>
          <w:rFonts w:asciiTheme="minorHAnsi" w:eastAsia="Times New Roman" w:hAnsiTheme="minorHAnsi" w:cstheme="minorHAnsi"/>
          <w:sz w:val="24"/>
          <w:szCs w:val="24"/>
        </w:rPr>
        <w:t>DRL Survivor-Centered Conflict-Related Sexual Violence Documentation in Ukraine</w:t>
      </w:r>
      <w:r w:rsidR="00F933DA" w:rsidRPr="00F106F1">
        <w:rPr>
          <w:rFonts w:asciiTheme="minorHAnsi" w:eastAsia="Times New Roman" w:hAnsiTheme="minorHAnsi" w:cstheme="minorHAnsi"/>
          <w:sz w:val="24"/>
          <w:szCs w:val="24"/>
        </w:rPr>
        <w:t>,</w:t>
      </w:r>
      <w:r w:rsidR="00CE5219" w:rsidRPr="00F106F1">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xml:space="preserve">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5A75AB" w:rsidRPr="005A75AB">
        <w:rPr>
          <w:rFonts w:asciiTheme="minorHAnsi" w:eastAsia="Times New Roman" w:hAnsiTheme="minorHAnsi" w:cstheme="minorHAnsi"/>
          <w:sz w:val="24"/>
          <w:szCs w:val="24"/>
        </w:rPr>
        <w:t>SFOP0009516</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English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pages are numbered, including budgets and attachments;</w:t>
      </w:r>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(i.e.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3"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3"/>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7CA9819E"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5DE7BA4D" w:rsidR="0035360E" w:rsidRPr="00AD1D9D" w:rsidRDefault="348D2FAA"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F106F1">
        <w:rPr>
          <w:rFonts w:asciiTheme="minorHAnsi" w:eastAsia="Times New Roman" w:hAnsiTheme="minorHAnsi" w:cstheme="minorHAnsi"/>
          <w:color w:val="auto"/>
          <w:sz w:val="24"/>
          <w:szCs w:val="24"/>
        </w:rPr>
        <w:t>12</w:t>
      </w:r>
      <w:r w:rsidRPr="00AD1D9D">
        <w:rPr>
          <w:rFonts w:asciiTheme="minorHAnsi" w:eastAsia="Times New Roman" w:hAnsiTheme="minorHAnsi" w:cstheme="minorHAnsi"/>
          <w:color w:val="auto"/>
          <w:sz w:val="24"/>
          <w:szCs w:val="24"/>
        </w:rPr>
        <w:t xml:space="preserve"> 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4678D6EF" w:rsidR="00CF1A66" w:rsidRPr="00AD1D9D" w:rsidRDefault="348D2FAA" w:rsidP="00141D59">
      <w:pPr>
        <w:pStyle w:val="NoSpacing"/>
        <w:numPr>
          <w:ilvl w:val="1"/>
          <w:numId w:val="17"/>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F106F1">
        <w:rPr>
          <w:rFonts w:asciiTheme="minorHAnsi" w:eastAsia="Times New Roman" w:hAnsiTheme="minorHAnsi" w:cstheme="minorHAnsi"/>
          <w:color w:val="auto"/>
          <w:sz w:val="24"/>
          <w:szCs w:val="24"/>
        </w:rPr>
        <w:t>12</w:t>
      </w:r>
      <w:r w:rsidRPr="00AD1D9D">
        <w:rPr>
          <w:rFonts w:asciiTheme="minorHAnsi" w:eastAsia="Times New Roman" w:hAnsiTheme="minorHAnsi" w:cstheme="minorHAnsi"/>
          <w:color w:val="auto"/>
          <w:sz w:val="24"/>
          <w:szCs w:val="24"/>
        </w:rPr>
        <w:t xml:space="preserve"> 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For instance, when collecting data from project participants, consider whether your organization will have the necessary informed consent </w:t>
      </w:r>
      <w:r w:rsidRPr="00AD1D9D">
        <w:rPr>
          <w:rFonts w:asciiTheme="minorHAnsi" w:eastAsia="Times New Roman" w:hAnsiTheme="minorHAnsi" w:cstheme="minorHAnsi"/>
          <w:sz w:val="24"/>
          <w:szCs w:val="24"/>
        </w:rPr>
        <w:lastRenderedPageBreak/>
        <w:t>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303ABC"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4"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4"/>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w:t>
      </w:r>
      <w:r w:rsidRPr="00303ABC">
        <w:rPr>
          <w:rFonts w:asciiTheme="minorHAnsi" w:eastAsia="Times New Roman" w:hAnsiTheme="minorHAnsi" w:cstheme="minorHAnsi"/>
          <w:color w:val="252525"/>
          <w:sz w:val="24"/>
          <w:szCs w:val="24"/>
        </w:rPr>
        <w:t xml:space="preserve">proposal documents, including a plan for </w:t>
      </w:r>
      <w:r w:rsidRPr="00303ABC">
        <w:rPr>
          <w:rFonts w:asciiTheme="minorHAnsi" w:eastAsia="Times New Roman" w:hAnsiTheme="minorHAnsi" w:cstheme="minorHAnsi"/>
          <w:sz w:val="24"/>
          <w:szCs w:val="24"/>
        </w:rPr>
        <w:t xml:space="preserve">regularly reviewing and updating the gender </w:t>
      </w:r>
      <w:bookmarkStart w:id="5" w:name="_Hlk87981167"/>
      <w:r w:rsidR="1648A614" w:rsidRPr="00303ABC">
        <w:rPr>
          <w:rFonts w:asciiTheme="minorHAnsi" w:eastAsia="Times New Roman" w:hAnsiTheme="minorHAnsi" w:cstheme="minorHAnsi"/>
          <w:sz w:val="24"/>
          <w:szCs w:val="24"/>
        </w:rPr>
        <w:t xml:space="preserve">and inclusion </w:t>
      </w:r>
      <w:bookmarkEnd w:id="5"/>
      <w:r w:rsidRPr="00303ABC">
        <w:rPr>
          <w:rFonts w:asciiTheme="minorHAnsi" w:eastAsia="Times New Roman" w:hAnsiTheme="minorHAnsi" w:cstheme="minorHAnsi"/>
          <w:sz w:val="24"/>
          <w:szCs w:val="24"/>
        </w:rPr>
        <w:t>analysis with local partners/beneficiaries, and making any necessary adjustments to pro</w:t>
      </w:r>
      <w:r w:rsidR="242D5CA8" w:rsidRPr="00303ABC">
        <w:rPr>
          <w:rFonts w:asciiTheme="minorHAnsi" w:eastAsia="Times New Roman" w:hAnsiTheme="minorHAnsi" w:cstheme="minorHAnsi"/>
          <w:sz w:val="24"/>
          <w:szCs w:val="24"/>
        </w:rPr>
        <w:t>ject</w:t>
      </w:r>
      <w:r w:rsidRPr="00303ABC">
        <w:rPr>
          <w:rFonts w:asciiTheme="minorHAnsi" w:eastAsia="Times New Roman" w:hAnsiTheme="minorHAnsi" w:cstheme="minorHAnsi"/>
          <w:sz w:val="24"/>
          <w:szCs w:val="24"/>
        </w:rPr>
        <w:t xml:space="preserve"> implementation</w:t>
      </w:r>
      <w:r w:rsidRPr="00303ABC">
        <w:rPr>
          <w:rFonts w:asciiTheme="minorHAnsi" w:eastAsia="Times New Roman" w:hAnsiTheme="minorHAnsi" w:cstheme="minorHAnsi"/>
          <w:color w:val="252525"/>
          <w:sz w:val="24"/>
          <w:szCs w:val="24"/>
        </w:rPr>
        <w:t xml:space="preserve">.  A set of guiding questions can be found in Section </w:t>
      </w:r>
      <w:r w:rsidR="065C7963" w:rsidRPr="00303ABC">
        <w:rPr>
          <w:rFonts w:asciiTheme="minorHAnsi" w:eastAsia="Times New Roman" w:hAnsiTheme="minorHAnsi" w:cstheme="minorHAnsi"/>
          <w:color w:val="252525"/>
          <w:sz w:val="24"/>
          <w:szCs w:val="24"/>
        </w:rPr>
        <w:t>2</w:t>
      </w:r>
      <w:r w:rsidRPr="00303ABC">
        <w:rPr>
          <w:rFonts w:asciiTheme="minorHAnsi" w:eastAsia="Times New Roman" w:hAnsiTheme="minorHAnsi" w:cstheme="minorHAnsi"/>
          <w:color w:val="252525"/>
          <w:sz w:val="24"/>
          <w:szCs w:val="24"/>
        </w:rPr>
        <w:t>L of the PSI.</w:t>
      </w:r>
    </w:p>
    <w:p w14:paraId="7B5E326E" w14:textId="77777777" w:rsidR="006448FC" w:rsidRPr="00303ABC"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303ABC" w:rsidRDefault="45651D5A" w:rsidP="00141D59">
      <w:pPr>
        <w:pStyle w:val="NoSpacing"/>
        <w:numPr>
          <w:ilvl w:val="0"/>
          <w:numId w:val="17"/>
        </w:numPr>
        <w:rPr>
          <w:rFonts w:asciiTheme="minorHAnsi" w:eastAsia="Times New Roman" w:hAnsiTheme="minorHAnsi" w:cstheme="minorHAnsi"/>
          <w:color w:val="252525"/>
          <w:sz w:val="24"/>
          <w:szCs w:val="24"/>
        </w:rPr>
      </w:pPr>
      <w:r w:rsidRPr="00303ABC">
        <w:rPr>
          <w:rFonts w:asciiTheme="minorHAnsi" w:eastAsia="Times New Roman" w:hAnsiTheme="minorHAnsi" w:cstheme="minorHAnsi"/>
          <w:b/>
          <w:bCs/>
          <w:sz w:val="24"/>
          <w:szCs w:val="24"/>
        </w:rPr>
        <w:t>Security Plan</w:t>
      </w:r>
      <w:r w:rsidR="2D01E641" w:rsidRPr="00303ABC">
        <w:rPr>
          <w:rFonts w:asciiTheme="minorHAnsi" w:eastAsia="Times New Roman" w:hAnsiTheme="minorHAnsi" w:cstheme="minorHAnsi"/>
          <w:b/>
          <w:bCs/>
          <w:sz w:val="24"/>
          <w:szCs w:val="24"/>
        </w:rPr>
        <w:t xml:space="preserve"> </w:t>
      </w:r>
      <w:r w:rsidR="147B753D" w:rsidRPr="00303ABC">
        <w:rPr>
          <w:rFonts w:asciiTheme="minorHAnsi" w:eastAsia="Times New Roman" w:hAnsiTheme="minorHAnsi" w:cstheme="minorHAnsi"/>
          <w:sz w:val="24"/>
          <w:szCs w:val="24"/>
        </w:rPr>
        <w:t xml:space="preserve">addressing any issues involving in-person events and recruitment for said events, </w:t>
      </w:r>
      <w:r w:rsidR="1073C3BD" w:rsidRPr="00303ABC">
        <w:rPr>
          <w:rFonts w:asciiTheme="minorHAnsi" w:eastAsia="Times New Roman" w:hAnsiTheme="minorHAnsi" w:cstheme="minorHAnsi"/>
          <w:sz w:val="24"/>
          <w:szCs w:val="24"/>
        </w:rPr>
        <w:t xml:space="preserve">and </w:t>
      </w:r>
      <w:r w:rsidR="147B753D" w:rsidRPr="00303ABC">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303ABC">
        <w:rPr>
          <w:rFonts w:asciiTheme="minorHAnsi" w:eastAsia="Times New Roman" w:hAnsiTheme="minorHAnsi" w:cstheme="minorHAnsi"/>
          <w:color w:val="auto"/>
          <w:sz w:val="24"/>
          <w:szCs w:val="24"/>
        </w:rPr>
        <w:t xml:space="preserve">.  </w:t>
      </w:r>
      <w:r w:rsidR="6FB218B9" w:rsidRPr="00303ABC">
        <w:rPr>
          <w:rFonts w:asciiTheme="minorHAnsi" w:eastAsia="Times New Roman" w:hAnsiTheme="minorHAnsi" w:cstheme="minorHAnsi"/>
          <w:color w:val="auto"/>
          <w:sz w:val="24"/>
          <w:szCs w:val="24"/>
        </w:rPr>
        <w:t>Organization’s</w:t>
      </w:r>
      <w:r w:rsidR="52F3EBEB" w:rsidRPr="00303ABC">
        <w:rPr>
          <w:rFonts w:asciiTheme="minorHAnsi" w:eastAsia="Times New Roman" w:hAnsiTheme="minorHAnsi" w:cstheme="minorHAnsi"/>
          <w:color w:val="auto"/>
          <w:sz w:val="24"/>
          <w:szCs w:val="24"/>
        </w:rPr>
        <w:t xml:space="preserve"> </w:t>
      </w:r>
      <w:r w:rsidR="34D767E9" w:rsidRPr="00303ABC">
        <w:rPr>
          <w:rFonts w:asciiTheme="minorHAnsi" w:eastAsia="Times New Roman" w:hAnsiTheme="minorHAnsi" w:cstheme="minorHAnsi"/>
          <w:color w:val="auto"/>
          <w:sz w:val="24"/>
          <w:szCs w:val="24"/>
        </w:rPr>
        <w:t>S</w:t>
      </w:r>
      <w:r w:rsidR="52F3EBEB" w:rsidRPr="00303ABC">
        <w:rPr>
          <w:rFonts w:asciiTheme="minorHAnsi" w:eastAsia="Times New Roman" w:hAnsiTheme="minorHAnsi" w:cstheme="minorHAnsi"/>
          <w:color w:val="auto"/>
          <w:sz w:val="24"/>
          <w:szCs w:val="24"/>
        </w:rPr>
        <w:t xml:space="preserve">ecurity </w:t>
      </w:r>
      <w:r w:rsidR="34D767E9" w:rsidRPr="00303ABC">
        <w:rPr>
          <w:rFonts w:asciiTheme="minorHAnsi" w:eastAsia="Times New Roman" w:hAnsiTheme="minorHAnsi" w:cstheme="minorHAnsi"/>
          <w:color w:val="auto"/>
          <w:sz w:val="24"/>
          <w:szCs w:val="24"/>
        </w:rPr>
        <w:t>P</w:t>
      </w:r>
      <w:r w:rsidR="52F3EBEB" w:rsidRPr="00303ABC">
        <w:rPr>
          <w:rFonts w:asciiTheme="minorHAnsi" w:eastAsia="Times New Roman" w:hAnsiTheme="minorHAnsi" w:cstheme="minorHAnsi"/>
          <w:color w:val="auto"/>
          <w:sz w:val="24"/>
          <w:szCs w:val="24"/>
        </w:rPr>
        <w:t>lan should demonstrate consideration of the risks identified in the submitted risk assessment</w:t>
      </w:r>
      <w:r w:rsidR="6FB218B9" w:rsidRPr="00303ABC">
        <w:rPr>
          <w:rFonts w:asciiTheme="minorHAnsi" w:eastAsia="Times New Roman" w:hAnsiTheme="minorHAnsi" w:cstheme="minorHAnsi"/>
          <w:color w:val="auto"/>
          <w:sz w:val="24"/>
          <w:szCs w:val="24"/>
        </w:rPr>
        <w:t xml:space="preserve">.  Costs may also be identified within the budget and budget </w:t>
      </w:r>
      <w:r w:rsidR="52F3EBEB" w:rsidRPr="00303ABC">
        <w:rPr>
          <w:rFonts w:asciiTheme="minorHAnsi" w:eastAsia="Times New Roman" w:hAnsiTheme="minorHAnsi" w:cstheme="minorHAnsi"/>
          <w:color w:val="auto"/>
          <w:sz w:val="24"/>
          <w:szCs w:val="24"/>
        </w:rPr>
        <w:t>narrative</w:t>
      </w:r>
      <w:r w:rsidR="6FB218B9" w:rsidRPr="00303ABC">
        <w:rPr>
          <w:rFonts w:asciiTheme="minorHAnsi" w:eastAsia="Times New Roman" w:hAnsiTheme="minorHAnsi" w:cstheme="minorHAnsi"/>
          <w:color w:val="auto"/>
          <w:sz w:val="24"/>
          <w:szCs w:val="24"/>
        </w:rPr>
        <w:t xml:space="preserve">.  </w:t>
      </w:r>
      <w:r w:rsidR="1073C3BD" w:rsidRPr="00303ABC">
        <w:rPr>
          <w:rFonts w:asciiTheme="minorHAnsi" w:eastAsia="Times New Roman" w:hAnsiTheme="minorHAnsi" w:cstheme="minorHAnsi"/>
          <w:sz w:val="24"/>
          <w:szCs w:val="24"/>
        </w:rPr>
        <w:t>Applicants</w:t>
      </w:r>
      <w:r w:rsidR="147B753D" w:rsidRPr="00303ABC">
        <w:rPr>
          <w:rFonts w:asciiTheme="minorHAnsi" w:eastAsia="Times New Roman" w:hAnsiTheme="minorHAnsi" w:cstheme="minorHAnsi"/>
          <w:sz w:val="24"/>
          <w:szCs w:val="24"/>
        </w:rPr>
        <w:t xml:space="preserve"> are </w:t>
      </w:r>
      <w:r w:rsidR="1073C3BD" w:rsidRPr="00303ABC">
        <w:rPr>
          <w:rFonts w:asciiTheme="minorHAnsi" w:eastAsia="Times New Roman" w:hAnsiTheme="minorHAnsi" w:cstheme="minorHAnsi"/>
          <w:sz w:val="24"/>
          <w:szCs w:val="24"/>
        </w:rPr>
        <w:t xml:space="preserve">also </w:t>
      </w:r>
      <w:r w:rsidR="147B753D" w:rsidRPr="00303ABC">
        <w:rPr>
          <w:rFonts w:asciiTheme="minorHAnsi" w:eastAsia="Times New Roman" w:hAnsiTheme="minorHAnsi" w:cstheme="minorHAnsi"/>
          <w:sz w:val="24"/>
          <w:szCs w:val="24"/>
        </w:rPr>
        <w:t>encouraged to include contingency plans for in-person or online activities.</w:t>
      </w:r>
    </w:p>
    <w:p w14:paraId="0C9479A0" w14:textId="77777777" w:rsidR="006448FC" w:rsidRPr="00303ABC"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303ABC"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303ABC">
        <w:rPr>
          <w:rFonts w:asciiTheme="minorHAnsi" w:hAnsiTheme="minorHAnsi" w:cstheme="minorHAnsi"/>
          <w:b/>
          <w:bCs/>
          <w:sz w:val="24"/>
          <w:szCs w:val="24"/>
        </w:rPr>
        <w:t>Contingency Plan</w:t>
      </w:r>
      <w:r w:rsidRPr="00303ABC">
        <w:rPr>
          <w:rFonts w:asciiTheme="minorHAnsi" w:eastAsia="Times New Roman" w:hAnsiTheme="minorHAnsi" w:cstheme="minorHAnsi"/>
          <w:sz w:val="24"/>
          <w:szCs w:val="24"/>
        </w:rPr>
        <w:t xml:space="preserve"> </w:t>
      </w:r>
      <w:r w:rsidR="1073C3BD" w:rsidRPr="00303ABC">
        <w:rPr>
          <w:rFonts w:asciiTheme="minorHAnsi" w:eastAsia="Times New Roman" w:hAnsiTheme="minorHAnsi" w:cstheme="minorHAnsi"/>
          <w:sz w:val="24"/>
          <w:szCs w:val="24"/>
        </w:rPr>
        <w:t>f</w:t>
      </w:r>
      <w:r w:rsidRPr="00303ABC">
        <w:rPr>
          <w:rFonts w:asciiTheme="minorHAnsi" w:hAnsiTheme="minorHAnsi" w:cstheme="minorHAnsi"/>
          <w:sz w:val="24"/>
          <w:szCs w:val="24"/>
        </w:rPr>
        <w:t xml:space="preserve">or proposed activities should the originally planned activities not be able to be implemented. </w:t>
      </w:r>
      <w:r w:rsidR="1073C3BD" w:rsidRPr="00303ABC">
        <w:rPr>
          <w:rFonts w:asciiTheme="minorHAnsi" w:hAnsiTheme="minorHAnsi" w:cstheme="minorHAnsi"/>
          <w:sz w:val="24"/>
          <w:szCs w:val="24"/>
        </w:rPr>
        <w:t xml:space="preserve"> </w:t>
      </w:r>
      <w:r w:rsidR="1073C3BD" w:rsidRPr="00303ABC">
        <w:rPr>
          <w:rFonts w:asciiTheme="minorHAnsi" w:hAnsiTheme="minorHAnsi" w:cstheme="minorHAnsi"/>
          <w:color w:val="auto"/>
          <w:sz w:val="24"/>
          <w:szCs w:val="24"/>
        </w:rPr>
        <w:t xml:space="preserve">The </w:t>
      </w:r>
      <w:r w:rsidR="677EB13C" w:rsidRPr="00303ABC">
        <w:rPr>
          <w:rFonts w:asciiTheme="minorHAnsi" w:hAnsiTheme="minorHAnsi" w:cstheme="minorHAnsi"/>
          <w:color w:val="auto"/>
          <w:sz w:val="24"/>
          <w:szCs w:val="24"/>
        </w:rPr>
        <w:t>C</w:t>
      </w:r>
      <w:r w:rsidR="1073C3BD" w:rsidRPr="00303ABC">
        <w:rPr>
          <w:rFonts w:asciiTheme="minorHAnsi" w:hAnsiTheme="minorHAnsi" w:cstheme="minorHAnsi"/>
          <w:color w:val="auto"/>
          <w:sz w:val="24"/>
          <w:szCs w:val="24"/>
        </w:rPr>
        <w:t xml:space="preserve">ontingency </w:t>
      </w:r>
      <w:r w:rsidR="677EB13C" w:rsidRPr="00303ABC">
        <w:rPr>
          <w:rFonts w:asciiTheme="minorHAnsi" w:hAnsiTheme="minorHAnsi" w:cstheme="minorHAnsi"/>
          <w:color w:val="auto"/>
          <w:sz w:val="24"/>
          <w:szCs w:val="24"/>
        </w:rPr>
        <w:t>P</w:t>
      </w:r>
      <w:r w:rsidR="1073C3BD" w:rsidRPr="00303ABC">
        <w:rPr>
          <w:rFonts w:asciiTheme="minorHAnsi" w:hAnsiTheme="minorHAnsi" w:cstheme="minorHAnsi"/>
          <w:color w:val="auto"/>
          <w:sz w:val="24"/>
          <w:szCs w:val="24"/>
        </w:rPr>
        <w:t xml:space="preserve">lan should be submitted </w:t>
      </w:r>
      <w:r w:rsidRPr="00303ABC">
        <w:rPr>
          <w:rFonts w:asciiTheme="minorHAnsi" w:hAnsiTheme="minorHAnsi" w:cstheme="minorHAnsi"/>
          <w:color w:val="auto"/>
          <w:sz w:val="24"/>
          <w:szCs w:val="24"/>
        </w:rPr>
        <w:t>as an additional annex.</w:t>
      </w:r>
      <w:r w:rsidR="493E62AA" w:rsidRPr="00303ABC">
        <w:rPr>
          <w:rFonts w:asciiTheme="minorHAnsi" w:hAnsiTheme="minorHAnsi" w:cstheme="minorHAnsi"/>
          <w:color w:val="auto"/>
          <w:sz w:val="24"/>
          <w:szCs w:val="24"/>
        </w:rPr>
        <w:t xml:space="preserve"> </w:t>
      </w:r>
      <w:r w:rsidR="4E1EBFDD" w:rsidRPr="00303ABC">
        <w:rPr>
          <w:rFonts w:asciiTheme="minorHAnsi" w:hAnsiTheme="minorHAnsi" w:cstheme="minorHAnsi"/>
          <w:color w:val="auto"/>
          <w:sz w:val="24"/>
          <w:szCs w:val="24"/>
        </w:rPr>
        <w:t xml:space="preserve"> </w:t>
      </w:r>
      <w:r w:rsidR="4E1EBFDD" w:rsidRPr="00303ABC">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303ABC">
        <w:rPr>
          <w:rFonts w:asciiTheme="minorHAnsi" w:eastAsia="Times New Roman" w:hAnsiTheme="minorHAnsi" w:cstheme="minorHAnsi"/>
          <w:color w:val="auto"/>
          <w:sz w:val="24"/>
          <w:szCs w:val="24"/>
        </w:rPr>
        <w:t>C</w:t>
      </w:r>
      <w:r w:rsidR="4E1EBFDD" w:rsidRPr="00303ABC">
        <w:rPr>
          <w:rFonts w:asciiTheme="minorHAnsi" w:eastAsia="Times New Roman" w:hAnsiTheme="minorHAnsi" w:cstheme="minorHAnsi"/>
          <w:color w:val="auto"/>
          <w:sz w:val="24"/>
          <w:szCs w:val="24"/>
        </w:rPr>
        <w:t xml:space="preserve">ontingency </w:t>
      </w:r>
      <w:r w:rsidR="677EB13C" w:rsidRPr="00303ABC">
        <w:rPr>
          <w:rFonts w:asciiTheme="minorHAnsi" w:eastAsia="Times New Roman" w:hAnsiTheme="minorHAnsi" w:cstheme="minorHAnsi"/>
          <w:color w:val="auto"/>
          <w:sz w:val="24"/>
          <w:szCs w:val="24"/>
        </w:rPr>
        <w:t>P</w:t>
      </w:r>
      <w:r w:rsidR="4E1EBFDD" w:rsidRPr="00303ABC">
        <w:rPr>
          <w:rFonts w:asciiTheme="minorHAnsi" w:eastAsia="Times New Roman" w:hAnsiTheme="minorHAnsi" w:cstheme="minorHAnsi"/>
          <w:color w:val="auto"/>
          <w:sz w:val="24"/>
          <w:szCs w:val="24"/>
        </w:rPr>
        <w:t xml:space="preserve">lan.  </w:t>
      </w:r>
      <w:r w:rsidR="7537E465" w:rsidRPr="00303ABC">
        <w:rPr>
          <w:rFonts w:asciiTheme="minorHAnsi" w:eastAsia="Times New Roman" w:hAnsiTheme="minorHAnsi" w:cstheme="minorHAnsi"/>
          <w:color w:val="auto"/>
          <w:sz w:val="24"/>
          <w:szCs w:val="24"/>
        </w:rPr>
        <w:t>Any proposed “plan” must comply with 2CFR200.433 – Contingency provisions.</w:t>
      </w:r>
      <w:r w:rsidR="2A7772C3" w:rsidRPr="00303ABC">
        <w:rPr>
          <w:rFonts w:asciiTheme="minorHAnsi" w:eastAsia="Times New Roman" w:hAnsiTheme="minorHAnsi" w:cstheme="minorHAnsi"/>
          <w:color w:val="auto"/>
          <w:sz w:val="24"/>
          <w:szCs w:val="24"/>
        </w:rPr>
        <w:t xml:space="preserve"> </w:t>
      </w:r>
      <w:r w:rsidR="7537E465" w:rsidRPr="00303ABC">
        <w:rPr>
          <w:rFonts w:asciiTheme="minorHAnsi" w:eastAsia="Times New Roman" w:hAnsiTheme="minorHAnsi" w:cstheme="minorHAnsi"/>
          <w:color w:val="auto"/>
          <w:sz w:val="24"/>
          <w:szCs w:val="24"/>
        </w:rPr>
        <w:t xml:space="preserve"> Plans must not include unallocable or unallowable </w:t>
      </w:r>
      <w:r w:rsidR="677EB13C" w:rsidRPr="00303ABC">
        <w:rPr>
          <w:rFonts w:asciiTheme="minorHAnsi" w:eastAsia="Times New Roman" w:hAnsiTheme="minorHAnsi" w:cstheme="minorHAnsi"/>
          <w:color w:val="auto"/>
          <w:sz w:val="24"/>
          <w:szCs w:val="24"/>
        </w:rPr>
        <w:t>expenses and</w:t>
      </w:r>
      <w:r w:rsidR="7537E465" w:rsidRPr="00303ABC">
        <w:rPr>
          <w:rFonts w:asciiTheme="minorHAnsi" w:eastAsia="Times New Roman" w:hAnsiTheme="minorHAnsi" w:cstheme="minorHAnsi"/>
          <w:color w:val="auto"/>
          <w:sz w:val="24"/>
          <w:szCs w:val="24"/>
        </w:rPr>
        <w:t xml:space="preserve"> must not result in a larger Total Award Value than the identified as the </w:t>
      </w:r>
      <w:r w:rsidR="7537E465" w:rsidRPr="00303ABC">
        <w:rPr>
          <w:rFonts w:asciiTheme="minorHAnsi" w:eastAsia="Times New Roman" w:hAnsiTheme="minorHAnsi" w:cstheme="minorHAnsi"/>
          <w:color w:val="auto"/>
          <w:sz w:val="24"/>
          <w:szCs w:val="24"/>
        </w:rPr>
        <w:lastRenderedPageBreak/>
        <w:t>“competition ceiling</w:t>
      </w:r>
      <w:r w:rsidR="30B20F17" w:rsidRPr="00303ABC">
        <w:rPr>
          <w:rFonts w:asciiTheme="minorHAnsi" w:eastAsia="Times New Roman" w:hAnsiTheme="minorHAnsi" w:cstheme="minorHAnsi"/>
          <w:color w:val="auto"/>
          <w:sz w:val="24"/>
          <w:szCs w:val="24"/>
        </w:rPr>
        <w:t>.”</w:t>
      </w:r>
      <w:r w:rsidR="7537E465" w:rsidRPr="00303ABC">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303ABC">
        <w:rPr>
          <w:rFonts w:asciiTheme="minorHAnsi" w:eastAsia="Times New Roman" w:hAnsiTheme="minorHAnsi" w:cstheme="minorHAnsi"/>
          <w:color w:val="auto"/>
          <w:sz w:val="24"/>
          <w:szCs w:val="24"/>
        </w:rPr>
        <w:t>.”</w:t>
      </w:r>
    </w:p>
    <w:p w14:paraId="2D2F6994" w14:textId="77777777" w:rsidR="006448FC" w:rsidRPr="00303ABC"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303ABC"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303ABC">
        <w:rPr>
          <w:rFonts w:asciiTheme="minorHAnsi" w:hAnsiTheme="minorHAnsi" w:cstheme="minorHAnsi"/>
          <w:b/>
          <w:bCs/>
          <w:sz w:val="24"/>
          <w:szCs w:val="24"/>
        </w:rPr>
        <w:t>Lessons L</w:t>
      </w:r>
      <w:r w:rsidR="147B753D" w:rsidRPr="00303ABC">
        <w:rPr>
          <w:rFonts w:asciiTheme="minorHAnsi" w:hAnsiTheme="minorHAnsi" w:cstheme="minorHAnsi"/>
          <w:b/>
          <w:bCs/>
          <w:sz w:val="24"/>
          <w:szCs w:val="24"/>
        </w:rPr>
        <w:t>earned</w:t>
      </w:r>
      <w:r w:rsidRPr="00303ABC">
        <w:rPr>
          <w:rFonts w:asciiTheme="minorHAnsi" w:hAnsiTheme="minorHAnsi" w:cstheme="minorHAnsi"/>
          <w:b/>
          <w:bCs/>
          <w:sz w:val="24"/>
          <w:szCs w:val="24"/>
        </w:rPr>
        <w:t xml:space="preserve"> </w:t>
      </w:r>
      <w:r w:rsidRPr="00303ABC">
        <w:rPr>
          <w:rFonts w:asciiTheme="minorHAnsi" w:eastAsia="Times New Roman" w:hAnsiTheme="minorHAnsi" w:cstheme="minorHAnsi"/>
          <w:sz w:val="24"/>
          <w:szCs w:val="24"/>
        </w:rPr>
        <w:t xml:space="preserve">(not to exceed one </w:t>
      </w:r>
      <w:r w:rsidR="30B20F17" w:rsidRPr="00303ABC">
        <w:rPr>
          <w:rFonts w:asciiTheme="minorHAnsi" w:eastAsia="Times New Roman" w:hAnsiTheme="minorHAnsi" w:cstheme="minorHAnsi"/>
          <w:sz w:val="24"/>
          <w:szCs w:val="24"/>
        </w:rPr>
        <w:t>(</w:t>
      </w:r>
      <w:r w:rsidRPr="00303ABC">
        <w:rPr>
          <w:rFonts w:asciiTheme="minorHAnsi" w:eastAsia="Times New Roman" w:hAnsiTheme="minorHAnsi" w:cstheme="minorHAnsi"/>
          <w:sz w:val="24"/>
          <w:szCs w:val="24"/>
        </w:rPr>
        <w:t>1</w:t>
      </w:r>
      <w:r w:rsidR="30B20F17" w:rsidRPr="00303ABC">
        <w:rPr>
          <w:rFonts w:asciiTheme="minorHAnsi" w:eastAsia="Times New Roman" w:hAnsiTheme="minorHAnsi" w:cstheme="minorHAnsi"/>
          <w:sz w:val="24"/>
          <w:szCs w:val="24"/>
        </w:rPr>
        <w:t>)</w:t>
      </w:r>
      <w:r w:rsidRPr="00303ABC">
        <w:rPr>
          <w:rFonts w:asciiTheme="minorHAnsi" w:eastAsia="Times New Roman" w:hAnsiTheme="minorHAnsi" w:cstheme="minorHAnsi"/>
          <w:sz w:val="24"/>
          <w:szCs w:val="24"/>
        </w:rPr>
        <w:t xml:space="preserve"> page, preferably as a Word Document)</w:t>
      </w:r>
      <w:r w:rsidR="147B753D" w:rsidRPr="00303ABC">
        <w:rPr>
          <w:rFonts w:asciiTheme="minorHAnsi" w:hAnsiTheme="minorHAnsi" w:cstheme="minorHAnsi"/>
          <w:sz w:val="24"/>
          <w:szCs w:val="24"/>
        </w:rPr>
        <w:t xml:space="preserve"> from past programs</w:t>
      </w:r>
      <w:r w:rsidR="286ECEAD" w:rsidRPr="00303ABC">
        <w:rPr>
          <w:rFonts w:asciiTheme="minorHAnsi" w:hAnsiTheme="minorHAnsi" w:cstheme="minorHAnsi"/>
          <w:sz w:val="24"/>
          <w:szCs w:val="24"/>
        </w:rPr>
        <w:t xml:space="preserve"> (insert country or theme)</w:t>
      </w:r>
      <w:r w:rsidR="147B753D" w:rsidRPr="00303ABC">
        <w:rPr>
          <w:rFonts w:asciiTheme="minorHAnsi" w:hAnsiTheme="minorHAnsi" w:cstheme="minorHAnsi"/>
          <w:sz w:val="24"/>
          <w:szCs w:val="24"/>
        </w:rPr>
        <w:t xml:space="preserve"> that demonstrate how the implementer has safely operated and responded to</w:t>
      </w:r>
      <w:r w:rsidR="79681004" w:rsidRPr="00303ABC">
        <w:rPr>
          <w:rFonts w:asciiTheme="minorHAnsi" w:hAnsiTheme="minorHAnsi" w:cstheme="minorHAnsi"/>
          <w:sz w:val="24"/>
          <w:szCs w:val="24"/>
        </w:rPr>
        <w:t xml:space="preserve"> programmatic</w:t>
      </w:r>
      <w:r w:rsidR="147B753D" w:rsidRPr="00303ABC">
        <w:rPr>
          <w:rFonts w:asciiTheme="minorHAnsi" w:hAnsiTheme="minorHAnsi" w:cstheme="minorHAnsi"/>
          <w:sz w:val="24"/>
          <w:szCs w:val="24"/>
        </w:rPr>
        <w:t xml:space="preserve"> challenges, learning from both successes and failures, in the operating environment.  </w:t>
      </w:r>
      <w:r w:rsidR="147B753D" w:rsidRPr="00303ABC">
        <w:rPr>
          <w:rFonts w:asciiTheme="minorHAnsi" w:hAnsiTheme="minorHAnsi" w:cstheme="minorHAnsi"/>
          <w:color w:val="auto"/>
          <w:sz w:val="24"/>
          <w:szCs w:val="24"/>
        </w:rPr>
        <w:t xml:space="preserve">To be incorporated into the </w:t>
      </w:r>
      <w:r w:rsidR="1073C3BD" w:rsidRPr="00303ABC">
        <w:rPr>
          <w:rFonts w:asciiTheme="minorHAnsi" w:hAnsiTheme="minorHAnsi" w:cstheme="minorHAnsi"/>
          <w:color w:val="auto"/>
          <w:sz w:val="24"/>
          <w:szCs w:val="24"/>
        </w:rPr>
        <w:t xml:space="preserve">ten </w:t>
      </w:r>
      <w:r w:rsidR="30B20F17" w:rsidRPr="00303ABC">
        <w:rPr>
          <w:rFonts w:asciiTheme="minorHAnsi" w:hAnsiTheme="minorHAnsi" w:cstheme="minorHAnsi"/>
          <w:color w:val="auto"/>
          <w:sz w:val="24"/>
          <w:szCs w:val="24"/>
        </w:rPr>
        <w:t>(</w:t>
      </w:r>
      <w:r w:rsidR="147B753D" w:rsidRPr="00303ABC">
        <w:rPr>
          <w:rFonts w:asciiTheme="minorHAnsi" w:hAnsiTheme="minorHAnsi" w:cstheme="minorHAnsi"/>
          <w:color w:val="auto"/>
          <w:sz w:val="24"/>
          <w:szCs w:val="24"/>
        </w:rPr>
        <w:t>10</w:t>
      </w:r>
      <w:r w:rsidR="30B20F17" w:rsidRPr="00303ABC">
        <w:rPr>
          <w:rFonts w:asciiTheme="minorHAnsi" w:hAnsiTheme="minorHAnsi" w:cstheme="minorHAnsi"/>
          <w:color w:val="auto"/>
          <w:sz w:val="24"/>
          <w:szCs w:val="24"/>
        </w:rPr>
        <w:t xml:space="preserve">) </w:t>
      </w:r>
      <w:r w:rsidR="147B753D" w:rsidRPr="00303ABC">
        <w:rPr>
          <w:rFonts w:asciiTheme="minorHAnsi" w:hAnsiTheme="minorHAnsi" w:cstheme="minorHAnsi"/>
          <w:color w:val="auto"/>
          <w:sz w:val="24"/>
          <w:szCs w:val="24"/>
        </w:rPr>
        <w:t>pages allowed for “Proposal Narrative</w:t>
      </w:r>
      <w:r w:rsidR="1073C3BD" w:rsidRPr="00303ABC">
        <w:rPr>
          <w:rFonts w:asciiTheme="minorHAnsi" w:hAnsiTheme="minorHAnsi" w:cstheme="minorHAnsi"/>
          <w:color w:val="auto"/>
          <w:sz w:val="24"/>
          <w:szCs w:val="24"/>
        </w:rPr>
        <w:t>.”</w:t>
      </w:r>
      <w:r w:rsidR="147B753D" w:rsidRPr="00303ABC">
        <w:rPr>
          <w:rFonts w:asciiTheme="minorHAnsi" w:hAnsiTheme="minorHAnsi" w:cstheme="minorHAnsi"/>
          <w:color w:val="auto"/>
          <w:sz w:val="24"/>
          <w:szCs w:val="24"/>
        </w:rPr>
        <w:t xml:space="preserve"> </w:t>
      </w:r>
      <w:r w:rsidR="1073C3BD" w:rsidRPr="00303ABC">
        <w:rPr>
          <w:rFonts w:asciiTheme="minorHAnsi" w:hAnsiTheme="minorHAnsi" w:cstheme="minorHAnsi"/>
          <w:color w:val="auto"/>
          <w:sz w:val="24"/>
          <w:szCs w:val="24"/>
        </w:rPr>
        <w:t xml:space="preserve"> </w:t>
      </w:r>
    </w:p>
    <w:p w14:paraId="776498FE" w14:textId="77777777" w:rsidR="006448FC" w:rsidRPr="00303ABC"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303ABC"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303ABC">
        <w:rPr>
          <w:rFonts w:asciiTheme="minorHAnsi" w:hAnsiTheme="minorHAnsi" w:cstheme="minorHAnsi"/>
          <w:b/>
          <w:bCs/>
          <w:sz w:val="24"/>
          <w:szCs w:val="24"/>
        </w:rPr>
        <w:t>Psychosocial Assistance</w:t>
      </w:r>
      <w:r w:rsidR="4D0E7E6D" w:rsidRPr="00303ABC">
        <w:rPr>
          <w:rFonts w:asciiTheme="minorHAnsi" w:hAnsiTheme="minorHAnsi" w:cstheme="minorHAnsi"/>
          <w:b/>
          <w:bCs/>
          <w:sz w:val="24"/>
          <w:szCs w:val="24"/>
        </w:rPr>
        <w:t xml:space="preserve"> </w:t>
      </w:r>
      <w:r w:rsidR="4D0E7E6D" w:rsidRPr="00303ABC">
        <w:rPr>
          <w:rFonts w:asciiTheme="minorHAnsi" w:hAnsiTheme="minorHAnsi" w:cstheme="minorHAnsi"/>
          <w:sz w:val="24"/>
          <w:szCs w:val="24"/>
        </w:rPr>
        <w:t xml:space="preserve">(to be </w:t>
      </w:r>
      <w:r w:rsidR="4D0E7E6D" w:rsidRPr="00303ABC">
        <w:rPr>
          <w:rFonts w:asciiTheme="minorHAnsi" w:hAnsiTheme="minorHAnsi" w:cstheme="minorHAnsi"/>
          <w:color w:val="auto"/>
          <w:sz w:val="24"/>
          <w:szCs w:val="24"/>
        </w:rPr>
        <w:t>incorporated into the ten (10) pages allowed for “Proposal Narrative,” and into “Budget” and “Budget Narrative”)</w:t>
      </w:r>
      <w:r w:rsidR="1073C3BD" w:rsidRPr="00303ABC">
        <w:rPr>
          <w:rFonts w:asciiTheme="minorHAnsi" w:hAnsiTheme="minorHAnsi" w:cstheme="minorHAnsi"/>
          <w:sz w:val="24"/>
          <w:szCs w:val="24"/>
        </w:rPr>
        <w:t>.</w:t>
      </w:r>
      <w:r w:rsidR="1073C3BD" w:rsidRPr="00303ABC">
        <w:rPr>
          <w:rFonts w:asciiTheme="minorHAnsi" w:hAnsiTheme="minorHAnsi" w:cstheme="minorHAnsi"/>
          <w:b/>
          <w:bCs/>
          <w:sz w:val="24"/>
          <w:szCs w:val="24"/>
        </w:rPr>
        <w:t xml:space="preserve"> </w:t>
      </w:r>
      <w:r w:rsidRPr="00303ABC">
        <w:rPr>
          <w:rFonts w:asciiTheme="minorHAnsi" w:hAnsiTheme="minorHAnsi" w:cstheme="minorHAnsi"/>
          <w:sz w:val="24"/>
          <w:szCs w:val="24"/>
        </w:rPr>
        <w:t xml:space="preserve"> </w:t>
      </w:r>
      <w:r w:rsidR="147B753D" w:rsidRPr="00303ABC">
        <w:rPr>
          <w:rFonts w:asciiTheme="minorHAnsi" w:hAnsiTheme="minorHAnsi" w:cstheme="minorHAnsi"/>
          <w:sz w:val="24"/>
          <w:szCs w:val="24"/>
        </w:rPr>
        <w:t>A section in the proposal</w:t>
      </w:r>
      <w:r w:rsidR="1073C3BD" w:rsidRPr="00303ABC">
        <w:rPr>
          <w:rFonts w:asciiTheme="minorHAnsi" w:hAnsiTheme="minorHAnsi" w:cstheme="minorHAnsi"/>
          <w:sz w:val="24"/>
          <w:szCs w:val="24"/>
        </w:rPr>
        <w:t>,</w:t>
      </w:r>
      <w:r w:rsidR="05DA27F8" w:rsidRPr="00303ABC">
        <w:rPr>
          <w:rFonts w:asciiTheme="minorHAnsi" w:hAnsiTheme="minorHAnsi" w:cstheme="minorHAnsi"/>
          <w:sz w:val="24"/>
          <w:szCs w:val="24"/>
        </w:rPr>
        <w:t xml:space="preserve"> </w:t>
      </w:r>
      <w:r w:rsidR="147B753D" w:rsidRPr="00303ABC">
        <w:rPr>
          <w:rFonts w:asciiTheme="minorHAnsi" w:hAnsiTheme="minorHAnsi" w:cstheme="minorHAnsi"/>
          <w:sz w:val="24"/>
          <w:szCs w:val="24"/>
        </w:rPr>
        <w:t>budget</w:t>
      </w:r>
      <w:r w:rsidR="1073C3BD" w:rsidRPr="00303ABC">
        <w:rPr>
          <w:rFonts w:asciiTheme="minorHAnsi" w:hAnsiTheme="minorHAnsi" w:cstheme="minorHAnsi"/>
          <w:sz w:val="24"/>
          <w:szCs w:val="24"/>
        </w:rPr>
        <w:t>, and budget narrative</w:t>
      </w:r>
      <w:r w:rsidR="147B753D" w:rsidRPr="00303ABC">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303ABC">
        <w:rPr>
          <w:rFonts w:asciiTheme="minorHAnsi" w:hAnsiTheme="minorHAnsi" w:cstheme="minorHAnsi"/>
          <w:sz w:val="24"/>
          <w:szCs w:val="24"/>
        </w:rPr>
        <w:t>contextually relevant</w:t>
      </w:r>
      <w:r w:rsidR="147B753D" w:rsidRPr="00303ABC">
        <w:rPr>
          <w:rFonts w:asciiTheme="minorHAnsi" w:hAnsiTheme="minorHAnsi" w:cstheme="minorHAnsi"/>
          <w:sz w:val="24"/>
          <w:szCs w:val="24"/>
        </w:rPr>
        <w:t xml:space="preserve"> </w:t>
      </w:r>
      <w:r w:rsidR="147B753D" w:rsidRPr="00303ABC">
        <w:rPr>
          <w:rFonts w:asciiTheme="minorHAnsi" w:hAnsiTheme="minorHAnsi" w:cstheme="minorHAnsi"/>
          <w:color w:val="auto"/>
          <w:sz w:val="24"/>
          <w:szCs w:val="24"/>
        </w:rPr>
        <w:t xml:space="preserve">support). </w:t>
      </w:r>
      <w:r w:rsidR="1073C3BD" w:rsidRPr="00303ABC">
        <w:rPr>
          <w:rFonts w:asciiTheme="minorHAnsi" w:hAnsiTheme="minorHAnsi" w:cstheme="minorHAnsi"/>
          <w:color w:val="auto"/>
          <w:sz w:val="24"/>
          <w:szCs w:val="24"/>
        </w:rPr>
        <w:t xml:space="preserve"> </w:t>
      </w:r>
    </w:p>
    <w:p w14:paraId="5CC3FD22" w14:textId="16345FF0" w:rsidR="006448FC" w:rsidRPr="00303ABC" w:rsidRDefault="147B753D" w:rsidP="00F106F1">
      <w:pPr>
        <w:pStyle w:val="ListParagraph"/>
        <w:numPr>
          <w:ilvl w:val="1"/>
          <w:numId w:val="19"/>
        </w:numPr>
        <w:spacing w:after="0" w:line="240" w:lineRule="auto"/>
        <w:rPr>
          <w:rFonts w:asciiTheme="minorHAnsi" w:eastAsia="Times New Roman" w:hAnsiTheme="minorHAnsi" w:cstheme="minorHAnsi"/>
          <w:sz w:val="24"/>
          <w:szCs w:val="24"/>
        </w:rPr>
      </w:pPr>
      <w:r w:rsidRPr="00303ABC">
        <w:rPr>
          <w:rFonts w:asciiTheme="minorHAnsi" w:eastAsia="Times New Roman" w:hAnsiTheme="minorHAnsi" w:cstheme="minorHAnsi"/>
          <w:sz w:val="24"/>
          <w:szCs w:val="24"/>
        </w:rPr>
        <w:t xml:space="preserve">References: </w:t>
      </w:r>
      <w:r w:rsidR="1073C3BD" w:rsidRPr="00303ABC">
        <w:rPr>
          <w:rFonts w:asciiTheme="minorHAnsi" w:eastAsia="Times New Roman" w:hAnsiTheme="minorHAnsi" w:cstheme="minorHAnsi"/>
          <w:sz w:val="24"/>
          <w:szCs w:val="24"/>
        </w:rPr>
        <w:t xml:space="preserve"> </w:t>
      </w:r>
      <w:r w:rsidRPr="00303ABC">
        <w:rPr>
          <w:rFonts w:asciiTheme="minorHAnsi" w:hAnsiTheme="minorHAnsi" w:cstheme="minorHAnsi"/>
          <w:sz w:val="24"/>
          <w:szCs w:val="24"/>
        </w:rPr>
        <w:t>For reference to international guidance, please see the following: Core Humanitarian Standard Commitment 8.9 (</w:t>
      </w:r>
      <w:hyperlink r:id="rId12">
        <w:r w:rsidR="30B20F17" w:rsidRPr="00303ABC">
          <w:rPr>
            <w:rStyle w:val="Hyperlink"/>
            <w:rFonts w:asciiTheme="minorHAnsi" w:hAnsiTheme="minorHAnsi" w:cstheme="minorHAnsi"/>
            <w:sz w:val="24"/>
            <w:szCs w:val="24"/>
          </w:rPr>
          <w:t>https://corehumanitarianstandard.org/files/files/CHS-Guidance-Notes-and-Indicators.pdf</w:t>
        </w:r>
      </w:hyperlink>
      <w:r w:rsidRPr="00303ABC">
        <w:rPr>
          <w:rFonts w:asciiTheme="minorHAnsi" w:hAnsiTheme="minorHAnsi" w:cstheme="minorHAnsi"/>
          <w:sz w:val="24"/>
          <w:szCs w:val="24"/>
        </w:rPr>
        <w:t>); and IASC Guidelines on Mental Health and Psycho</w:t>
      </w:r>
      <w:r w:rsidR="7E4B4928" w:rsidRPr="00303ABC">
        <w:rPr>
          <w:rFonts w:asciiTheme="minorHAnsi" w:hAnsiTheme="minorHAnsi" w:cstheme="minorHAnsi"/>
          <w:sz w:val="24"/>
          <w:szCs w:val="24"/>
        </w:rPr>
        <w:t>social Support in Emergency Settings</w:t>
      </w:r>
      <w:r w:rsidRPr="00303ABC">
        <w:rPr>
          <w:rFonts w:asciiTheme="minorHAnsi" w:hAnsiTheme="minorHAnsi" w:cstheme="minorHAnsi"/>
          <w:sz w:val="24"/>
          <w:szCs w:val="24"/>
        </w:rPr>
        <w:t xml:space="preserve"> Action Sheet 4.4 (</w:t>
      </w:r>
      <w:hyperlink r:id="rId13">
        <w:r w:rsidR="30B20F17" w:rsidRPr="00303ABC">
          <w:rPr>
            <w:rStyle w:val="Hyperlink"/>
            <w:rFonts w:asciiTheme="minorHAnsi" w:hAnsiTheme="minorHAnsi" w:cstheme="minorHAnsi"/>
            <w:sz w:val="24"/>
            <w:szCs w:val="24"/>
          </w:rPr>
          <w:t>http://www.who.int/mental_health/emergencies/guidelines_iasc_mental_health_psychosocial_june_2007.pdf</w:t>
        </w:r>
      </w:hyperlink>
      <w:r w:rsidR="30B20F17" w:rsidRPr="00303ABC">
        <w:rPr>
          <w:rFonts w:asciiTheme="minorHAnsi" w:hAnsiTheme="minorHAnsi" w:cstheme="minorHAnsi"/>
          <w:sz w:val="24"/>
          <w:szCs w:val="24"/>
        </w:rPr>
        <w:t>)</w:t>
      </w:r>
      <w:r w:rsidRPr="00303ABC">
        <w:rPr>
          <w:rFonts w:asciiTheme="minorHAnsi" w:hAnsiTheme="minorHAnsi" w:cstheme="minorHAnsi"/>
          <w:sz w:val="24"/>
          <w:szCs w:val="24"/>
        </w:rPr>
        <w:t>.</w:t>
      </w:r>
      <w:r w:rsidR="0090391C" w:rsidRPr="00303ABC">
        <w:rPr>
          <w:rFonts w:asciiTheme="minorHAnsi" w:hAnsiTheme="minorHAnsi" w:cstheme="minorHAnsi"/>
          <w:sz w:val="24"/>
          <w:szCs w:val="24"/>
        </w:rPr>
        <w:br/>
      </w:r>
    </w:p>
    <w:p w14:paraId="65D2DAE4" w14:textId="77777777" w:rsidR="00C91895" w:rsidRPr="00AD1D9D" w:rsidRDefault="00C91895" w:rsidP="00C91895">
      <w:pPr>
        <w:rPr>
          <w:rFonts w:asciiTheme="minorHAnsi" w:eastAsia="Times New Roman" w:hAnsiTheme="minorHAnsi" w:cstheme="minorHAnsi"/>
          <w:b/>
          <w:sz w:val="24"/>
          <w:szCs w:val="24"/>
        </w:rPr>
      </w:pPr>
      <w:r w:rsidRPr="00303ABC">
        <w:rPr>
          <w:rFonts w:asciiTheme="minorHAnsi" w:eastAsia="Times New Roman" w:hAnsiTheme="minorHAnsi" w:cstheme="minorHAnsi"/>
          <w:b/>
          <w:sz w:val="24"/>
          <w:szCs w:val="24"/>
        </w:rPr>
        <w:t>Applications that do not include the elements</w:t>
      </w:r>
      <w:r w:rsidRPr="00AD1D9D">
        <w:rPr>
          <w:rFonts w:asciiTheme="minorHAnsi" w:eastAsia="Times New Roman" w:hAnsiTheme="minorHAnsi" w:cstheme="minorHAnsi"/>
          <w:b/>
          <w:sz w:val="24"/>
          <w:szCs w:val="24"/>
        </w:rPr>
        <w:t xml:space="preserve">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(e.g.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For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w:t>
      </w:r>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before submitting an application</w:t>
      </w:r>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lastRenderedPageBreak/>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lastRenderedPageBreak/>
        <w:t>NCAGE Homepage:</w:t>
      </w:r>
      <w:r w:rsidRPr="00AD1D9D">
        <w:rPr>
          <w:rStyle w:val="eop"/>
          <w:rFonts w:asciiTheme="minorHAnsi" w:hAnsiTheme="minorHAnsi" w:cstheme="minorHAnsi"/>
          <w:color w:val="000000"/>
        </w:rPr>
        <w:t> </w:t>
      </w:r>
    </w:p>
    <w:p w14:paraId="3C5C82A8" w14:textId="77777777" w:rsidR="00382192" w:rsidRPr="00AD1D9D" w:rsidRDefault="005A75AB"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5A75AB"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 xml:space="preserve">Or,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6" w:name="h.j3cqnkumzr3g"/>
      <w:bookmarkEnd w:id="6"/>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329F5221"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303ABC">
        <w:rPr>
          <w:rFonts w:asciiTheme="minorHAnsi" w:eastAsia="Times New Roman" w:hAnsiTheme="minorHAnsi" w:cstheme="minorHAnsi"/>
          <w:b/>
          <w:bCs/>
          <w:sz w:val="24"/>
          <w:szCs w:val="24"/>
        </w:rPr>
        <w:t>Wednesday</w:t>
      </w:r>
      <w:r w:rsidRPr="00AD1D9D">
        <w:rPr>
          <w:rFonts w:asciiTheme="minorHAnsi" w:eastAsia="Times New Roman" w:hAnsiTheme="minorHAnsi" w:cstheme="minorHAnsi"/>
          <w:b/>
          <w:bCs/>
          <w:sz w:val="24"/>
          <w:szCs w:val="24"/>
        </w:rPr>
        <w:t>,</w:t>
      </w:r>
      <w:r w:rsidRPr="00AD1D9D">
        <w:rPr>
          <w:rFonts w:asciiTheme="minorHAnsi" w:hAnsiTheme="minorHAnsi" w:cstheme="minorHAnsi"/>
          <w:b/>
          <w:color w:val="2B579A"/>
          <w:sz w:val="24"/>
          <w:szCs w:val="24"/>
          <w:shd w:val="clear" w:color="auto" w:fill="E6E6E6"/>
        </w:rPr>
        <w:t xml:space="preserve"> </w:t>
      </w:r>
      <w:r w:rsidR="00303ABC">
        <w:rPr>
          <w:rFonts w:asciiTheme="minorHAnsi" w:eastAsia="Times New Roman" w:hAnsiTheme="minorHAnsi" w:cstheme="minorHAnsi"/>
          <w:b/>
          <w:bCs/>
          <w:sz w:val="24"/>
          <w:szCs w:val="24"/>
        </w:rPr>
        <w:t>May 17</w:t>
      </w:r>
      <w:r w:rsidRPr="00AD1D9D">
        <w:rPr>
          <w:rFonts w:asciiTheme="minorHAnsi" w:eastAsia="Times New Roman" w:hAnsiTheme="minorHAnsi" w:cstheme="minorHAnsi"/>
          <w:b/>
          <w:bCs/>
          <w:sz w:val="24"/>
          <w:szCs w:val="24"/>
        </w:rPr>
        <w:t xml:space="preserve">, </w:t>
      </w:r>
      <w:r w:rsidR="00303ABC">
        <w:rPr>
          <w:rFonts w:asciiTheme="minorHAnsi" w:eastAsia="Times New Roman" w:hAnsiTheme="minorHAnsi" w:cstheme="minorHAnsi"/>
          <w:b/>
          <w:bCs/>
          <w:sz w:val="24"/>
          <w:szCs w:val="24"/>
        </w:rPr>
        <w:t>2023</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F106F1" w:rsidRPr="00F106F1">
        <w:rPr>
          <w:rFonts w:asciiTheme="minorHAnsi" w:eastAsia="Times New Roman" w:hAnsiTheme="minorHAnsi" w:cstheme="minorHAnsi"/>
          <w:b/>
          <w:bCs/>
          <w:sz w:val="24"/>
          <w:szCs w:val="24"/>
        </w:rPr>
        <w:t>DRL Survivor-Centered Conflict-Related Sexual Violence Documentation in Ukraine</w:t>
      </w:r>
      <w:r w:rsidR="6C62868C" w:rsidRPr="00AD1D9D">
        <w:rPr>
          <w:rFonts w:asciiTheme="minorHAnsi" w:eastAsia="Times New Roman" w:hAnsiTheme="minorHAnsi" w:cstheme="minorHAnsi"/>
          <w:b/>
          <w:bCs/>
          <w:sz w:val="24"/>
          <w:szCs w:val="24"/>
        </w:rPr>
        <w:t>,” funding opportunity number “</w:t>
      </w:r>
      <w:r w:rsidR="005A75AB" w:rsidRPr="005A75AB">
        <w:rPr>
          <w:rFonts w:asciiTheme="minorHAnsi" w:eastAsia="Times New Roman" w:hAnsiTheme="minorHAnsi" w:cstheme="minorHAnsi"/>
          <w:b/>
          <w:bCs/>
          <w:sz w:val="24"/>
          <w:szCs w:val="24"/>
        </w:rPr>
        <w:t>SFOP0009516</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Prior to issuing a federal award with a total amount of federal share greater than $250,000, the Department of State is required to review and consider any information about the applicant </w:t>
      </w:r>
      <w:r w:rsidRPr="00AD1D9D">
        <w:rPr>
          <w:rFonts w:asciiTheme="minorHAnsi" w:eastAsia="Times New Roman" w:hAnsiTheme="minorHAnsi" w:cstheme="minorHAnsi"/>
          <w:sz w:val="24"/>
          <w:szCs w:val="24"/>
        </w:rPr>
        <w:lastRenderedPageBreak/>
        <w:t>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U.S. foreign assistance for Burma or Burmese beneficiaries is subject to restrictions.  This includes restrictions, pursuant to section 7043(a)(3) of the Department of State, Foreign </w:t>
      </w:r>
      <w:r w:rsidRPr="00AD1D9D">
        <w:rPr>
          <w:rFonts w:asciiTheme="minorHAnsi" w:eastAsia="Times New Roman" w:hAnsiTheme="minorHAnsi" w:cstheme="minorHAnsi"/>
          <w:sz w:val="24"/>
          <w:szCs w:val="24"/>
        </w:rPr>
        <w:lastRenderedPageBreak/>
        <w:t>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but is not receiving timely assistance </w:t>
      </w:r>
      <w:r w:rsidRPr="00AD1D9D">
        <w:rPr>
          <w:rFonts w:asciiTheme="minorHAnsi" w:eastAsia="Times New Roman" w:hAnsiTheme="minorHAnsi" w:cstheme="minorHAnsi"/>
          <w:color w:val="auto"/>
          <w:sz w:val="24"/>
          <w:szCs w:val="24"/>
        </w:rPr>
        <w:lastRenderedPageBreak/>
        <w:t>(e.g.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7" w:name="h.30j0zll" w:colFirst="0" w:colLast="0"/>
      <w:bookmarkEnd w:id="7"/>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lastRenderedPageBreak/>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8" w:name="h.1fob9te" w:colFirst="0" w:colLast="0"/>
      <w:bookmarkEnd w:id="8"/>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lastRenderedPageBreak/>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9" w:name="_Hlk87981201"/>
      <w:r w:rsidR="1648A614" w:rsidRPr="00AD1D9D">
        <w:rPr>
          <w:rFonts w:asciiTheme="minorHAnsi" w:hAnsiTheme="minorHAnsi" w:cstheme="minorHAnsi"/>
          <w:color w:val="auto"/>
          <w:sz w:val="24"/>
          <w:szCs w:val="24"/>
        </w:rPr>
        <w:t>Discrimination, violence, inequity, and inequality</w:t>
      </w:r>
      <w:bookmarkEnd w:id="9"/>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10"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10"/>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11" w:name="_Hlk87981246"/>
      <w:r w:rsidR="3C5BD54E" w:rsidRPr="00AD1D9D">
        <w:rPr>
          <w:rFonts w:asciiTheme="minorHAnsi" w:hAnsiTheme="minorHAnsi" w:cstheme="minorHAnsi"/>
          <w:color w:val="auto"/>
          <w:sz w:val="24"/>
          <w:szCs w:val="24"/>
        </w:rPr>
        <w:t>for underserved and underrepresented communities</w:t>
      </w:r>
      <w:bookmarkEnd w:id="11"/>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2" w:name="h.wxagwv88ai7a" w:colFirst="0" w:colLast="0"/>
      <w:bookmarkEnd w:id="12"/>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3" w:name="h.3znysh7" w:colFirst="0" w:colLast="0"/>
      <w:bookmarkEnd w:id="13"/>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lastRenderedPageBreak/>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4" w:name="h.2et92p0" w:colFirst="0" w:colLast="0"/>
      <w:bookmarkEnd w:id="14"/>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w:t>
      </w:r>
      <w:r w:rsidRPr="00AD1D9D">
        <w:rPr>
          <w:rFonts w:asciiTheme="minorHAnsi" w:eastAsia="Times New Roman" w:hAnsiTheme="minorHAnsi" w:cstheme="minorHAnsi"/>
          <w:color w:val="auto"/>
          <w:sz w:val="24"/>
          <w:szCs w:val="24"/>
        </w:rPr>
        <w:lastRenderedPageBreak/>
        <w:t xml:space="preserve">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w:t>
      </w:r>
      <w:r w:rsidRPr="00AD1D9D">
        <w:rPr>
          <w:rFonts w:asciiTheme="minorHAnsi" w:eastAsia="Times New Roman" w:hAnsiTheme="minorHAnsi" w:cstheme="minorHAnsi"/>
          <w:color w:val="auto"/>
          <w:sz w:val="24"/>
          <w:szCs w:val="24"/>
        </w:rPr>
        <w:lastRenderedPageBreak/>
        <w:t xml:space="preserve">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to be electronically counter-signed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8"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9">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74DD8E47" w14:textId="2ADF3A64" w:rsidR="0057151D" w:rsidRPr="00F106F1" w:rsidRDefault="0C5FAA87" w:rsidP="00DF259E">
      <w:pPr>
        <w:spacing w:after="0" w:line="240" w:lineRule="auto"/>
        <w:rPr>
          <w:rFonts w:asciiTheme="minorHAnsi" w:hAnsiTheme="minorHAnsi" w:cstheme="minorHAnsi"/>
          <w:b/>
          <w:bCs/>
          <w:color w:val="auto"/>
          <w:sz w:val="24"/>
          <w:szCs w:val="24"/>
        </w:rPr>
      </w:pPr>
      <w:r w:rsidRPr="00F106F1">
        <w:rPr>
          <w:rFonts w:asciiTheme="minorHAnsi" w:hAnsiTheme="minorHAnsi" w:cstheme="minorHAnsi"/>
          <w:b/>
          <w:bCs/>
          <w:color w:val="auto"/>
          <w:sz w:val="24"/>
          <w:szCs w:val="24"/>
          <w:u w:val="single"/>
        </w:rPr>
        <w:lastRenderedPageBreak/>
        <w:t>Subject to TVPA for funds obligated during FY 202</w:t>
      </w:r>
      <w:r w:rsidR="0B26D633" w:rsidRPr="00F106F1">
        <w:rPr>
          <w:rFonts w:asciiTheme="minorHAnsi" w:hAnsiTheme="minorHAnsi" w:cstheme="minorHAnsi"/>
          <w:b/>
          <w:bCs/>
          <w:color w:val="auto"/>
          <w:sz w:val="24"/>
          <w:szCs w:val="24"/>
          <w:u w:val="single"/>
        </w:rPr>
        <w:t>3</w:t>
      </w:r>
      <w:r w:rsidRPr="00F106F1">
        <w:rPr>
          <w:rFonts w:asciiTheme="minorHAnsi" w:hAnsiTheme="minorHAnsi" w:cstheme="minorHAnsi"/>
          <w:b/>
          <w:bCs/>
          <w:color w:val="auto"/>
          <w:sz w:val="24"/>
          <w:szCs w:val="24"/>
          <w:u w:val="single"/>
        </w:rPr>
        <w:t>:</w:t>
      </w:r>
    </w:p>
    <w:p w14:paraId="72A82251" w14:textId="50CFCF84" w:rsidR="0057151D" w:rsidRPr="00F106F1" w:rsidRDefault="4E76A6CB" w:rsidP="00DF259E">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AF:</w:t>
      </w:r>
      <w:r w:rsidRPr="00F106F1">
        <w:rPr>
          <w:rFonts w:asciiTheme="minorHAnsi" w:hAnsiTheme="minorHAnsi" w:cstheme="minorHAnsi"/>
          <w:color w:val="auto"/>
          <w:sz w:val="24"/>
          <w:szCs w:val="24"/>
        </w:rPr>
        <w:t xml:space="preserve"> </w:t>
      </w:r>
      <w:r w:rsidR="61E4577B" w:rsidRPr="00F106F1">
        <w:rPr>
          <w:rFonts w:asciiTheme="minorHAnsi" w:hAnsiTheme="minorHAnsi" w:cstheme="minorHAnsi"/>
          <w:color w:val="auto"/>
          <w:sz w:val="24"/>
          <w:szCs w:val="24"/>
        </w:rPr>
        <w:t xml:space="preserve"> </w:t>
      </w:r>
      <w:r w:rsidR="0C5FAA87" w:rsidRPr="00F106F1">
        <w:rPr>
          <w:rFonts w:asciiTheme="minorHAnsi" w:hAnsiTheme="minorHAnsi" w:cstheme="minorHAnsi"/>
          <w:color w:val="auto"/>
          <w:sz w:val="24"/>
          <w:szCs w:val="24"/>
        </w:rPr>
        <w:t xml:space="preserve">Eritrea, </w:t>
      </w:r>
      <w:r w:rsidR="33C0DD41" w:rsidRPr="00F106F1">
        <w:rPr>
          <w:rFonts w:asciiTheme="minorHAnsi" w:hAnsiTheme="minorHAnsi" w:cstheme="minorHAnsi"/>
          <w:color w:val="auto"/>
          <w:sz w:val="24"/>
          <w:szCs w:val="24"/>
        </w:rPr>
        <w:t xml:space="preserve">Guinea-Bissau, </w:t>
      </w:r>
      <w:r w:rsidR="0C5FAA87" w:rsidRPr="00F106F1">
        <w:rPr>
          <w:rFonts w:asciiTheme="minorHAnsi" w:hAnsiTheme="minorHAnsi" w:cstheme="minorHAnsi"/>
          <w:color w:val="auto"/>
          <w:sz w:val="24"/>
          <w:szCs w:val="24"/>
        </w:rPr>
        <w:t>South Sudan</w:t>
      </w:r>
    </w:p>
    <w:p w14:paraId="37396640" w14:textId="4F58D5D7" w:rsidR="0057151D" w:rsidRPr="00F106F1" w:rsidRDefault="4E76A6CB" w:rsidP="00DF259E">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 xml:space="preserve">EAP: </w:t>
      </w:r>
      <w:r w:rsidR="61E4577B" w:rsidRPr="00F106F1">
        <w:rPr>
          <w:rFonts w:asciiTheme="minorHAnsi" w:hAnsiTheme="minorHAnsi" w:cstheme="minorHAnsi"/>
          <w:b/>
          <w:bCs/>
          <w:color w:val="auto"/>
          <w:sz w:val="24"/>
          <w:szCs w:val="24"/>
        </w:rPr>
        <w:t xml:space="preserve"> </w:t>
      </w:r>
      <w:r w:rsidRPr="00F106F1">
        <w:rPr>
          <w:rFonts w:asciiTheme="minorHAnsi" w:hAnsiTheme="minorHAnsi" w:cstheme="minorHAnsi"/>
          <w:color w:val="auto"/>
          <w:sz w:val="24"/>
          <w:szCs w:val="24"/>
        </w:rPr>
        <w:t xml:space="preserve">Burma, </w:t>
      </w:r>
      <w:r w:rsidR="0C5FAA87" w:rsidRPr="00F106F1">
        <w:rPr>
          <w:rFonts w:asciiTheme="minorHAnsi" w:hAnsiTheme="minorHAnsi" w:cstheme="minorHAnsi"/>
          <w:color w:val="auto"/>
          <w:sz w:val="24"/>
          <w:szCs w:val="24"/>
        </w:rPr>
        <w:t xml:space="preserve">China (PRC), </w:t>
      </w:r>
      <w:r w:rsidR="52F5AB2E" w:rsidRPr="00F106F1">
        <w:rPr>
          <w:rFonts w:asciiTheme="minorHAnsi" w:hAnsiTheme="minorHAnsi" w:cstheme="minorHAnsi"/>
          <w:color w:val="auto"/>
          <w:sz w:val="24"/>
          <w:szCs w:val="24"/>
        </w:rPr>
        <w:t xml:space="preserve">Macau, </w:t>
      </w:r>
      <w:r w:rsidR="7B69A892" w:rsidRPr="00F106F1">
        <w:rPr>
          <w:rFonts w:asciiTheme="minorHAnsi" w:hAnsiTheme="minorHAnsi" w:cstheme="minorHAnsi"/>
          <w:color w:val="auto"/>
          <w:sz w:val="24"/>
          <w:szCs w:val="24"/>
        </w:rPr>
        <w:t>North Korea</w:t>
      </w:r>
    </w:p>
    <w:p w14:paraId="30148396" w14:textId="524E994C" w:rsidR="0057151D" w:rsidRPr="00F106F1" w:rsidRDefault="4E76A6CB" w:rsidP="00DF259E">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 xml:space="preserve">EUR: </w:t>
      </w:r>
      <w:r w:rsidR="61E4577B" w:rsidRPr="00F106F1">
        <w:rPr>
          <w:rFonts w:asciiTheme="minorHAnsi" w:hAnsiTheme="minorHAnsi" w:cstheme="minorHAnsi"/>
          <w:b/>
          <w:bCs/>
          <w:color w:val="auto"/>
          <w:sz w:val="24"/>
          <w:szCs w:val="24"/>
        </w:rPr>
        <w:t xml:space="preserve"> </w:t>
      </w:r>
      <w:r w:rsidR="5F5703F8" w:rsidRPr="00F106F1">
        <w:rPr>
          <w:rFonts w:asciiTheme="minorHAnsi" w:hAnsiTheme="minorHAnsi" w:cstheme="minorHAnsi"/>
          <w:color w:val="auto"/>
          <w:sz w:val="24"/>
          <w:szCs w:val="24"/>
          <w:shd w:val="clear" w:color="auto" w:fill="E6E6E6"/>
        </w:rPr>
        <w:t xml:space="preserve">Belarus, </w:t>
      </w:r>
      <w:r w:rsidRPr="00F106F1">
        <w:rPr>
          <w:rFonts w:asciiTheme="minorHAnsi" w:hAnsiTheme="minorHAnsi" w:cstheme="minorHAnsi"/>
          <w:color w:val="auto"/>
          <w:sz w:val="24"/>
          <w:szCs w:val="24"/>
        </w:rPr>
        <w:t xml:space="preserve">Russia </w:t>
      </w:r>
    </w:p>
    <w:p w14:paraId="1E08DF45" w14:textId="79FC49BA" w:rsidR="0057151D" w:rsidRPr="00F106F1" w:rsidRDefault="4E76A6CB" w:rsidP="6C15E1B1">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NEA:</w:t>
      </w:r>
      <w:r w:rsidR="0C5FAA87" w:rsidRPr="00F106F1">
        <w:rPr>
          <w:rFonts w:asciiTheme="minorHAnsi" w:hAnsiTheme="minorHAnsi" w:cstheme="minorHAnsi"/>
          <w:b/>
          <w:bCs/>
          <w:color w:val="auto"/>
          <w:sz w:val="24"/>
          <w:szCs w:val="24"/>
        </w:rPr>
        <w:t xml:space="preserve"> </w:t>
      </w:r>
      <w:r w:rsidR="61E4577B" w:rsidRPr="00F106F1">
        <w:rPr>
          <w:rFonts w:asciiTheme="minorHAnsi" w:hAnsiTheme="minorHAnsi" w:cstheme="minorHAnsi"/>
          <w:b/>
          <w:bCs/>
          <w:color w:val="auto"/>
          <w:sz w:val="24"/>
          <w:szCs w:val="24"/>
        </w:rPr>
        <w:t xml:space="preserve"> </w:t>
      </w:r>
      <w:r w:rsidR="0C5FAA87" w:rsidRPr="00F106F1">
        <w:rPr>
          <w:rFonts w:asciiTheme="minorHAnsi" w:hAnsiTheme="minorHAnsi" w:cstheme="minorHAnsi"/>
          <w:color w:val="auto"/>
          <w:sz w:val="24"/>
          <w:szCs w:val="24"/>
        </w:rPr>
        <w:t>Iran, Syria</w:t>
      </w:r>
    </w:p>
    <w:p w14:paraId="7981F02E" w14:textId="09237CBF" w:rsidR="002A01B1" w:rsidRPr="00F106F1" w:rsidRDefault="33C0DD41" w:rsidP="00DF259E">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SCA:</w:t>
      </w:r>
      <w:r w:rsidRPr="00F106F1">
        <w:rPr>
          <w:rFonts w:asciiTheme="minorHAnsi" w:hAnsiTheme="minorHAnsi" w:cstheme="minorHAnsi"/>
          <w:color w:val="auto"/>
          <w:sz w:val="24"/>
          <w:szCs w:val="24"/>
        </w:rPr>
        <w:t xml:space="preserve">  </w:t>
      </w:r>
      <w:r w:rsidR="5F3753E6" w:rsidRPr="00F106F1">
        <w:rPr>
          <w:rFonts w:asciiTheme="minorHAnsi" w:hAnsiTheme="minorHAnsi" w:cstheme="minorHAnsi"/>
          <w:color w:val="auto"/>
          <w:sz w:val="24"/>
          <w:szCs w:val="24"/>
        </w:rPr>
        <w:t>Afghanistan</w:t>
      </w:r>
    </w:p>
    <w:p w14:paraId="556A225F" w14:textId="3175715F" w:rsidR="0057151D" w:rsidRPr="00F106F1" w:rsidRDefault="4E76A6CB" w:rsidP="00DF259E">
      <w:pPr>
        <w:spacing w:after="0" w:line="240" w:lineRule="auto"/>
        <w:rPr>
          <w:rFonts w:asciiTheme="minorHAnsi" w:hAnsiTheme="minorHAnsi" w:cstheme="minorHAnsi"/>
          <w:color w:val="auto"/>
          <w:sz w:val="24"/>
          <w:szCs w:val="24"/>
        </w:rPr>
      </w:pPr>
      <w:r w:rsidRPr="00F106F1">
        <w:rPr>
          <w:rFonts w:asciiTheme="minorHAnsi" w:hAnsiTheme="minorHAnsi" w:cstheme="minorHAnsi"/>
          <w:b/>
          <w:bCs/>
          <w:color w:val="auto"/>
          <w:sz w:val="24"/>
          <w:szCs w:val="24"/>
        </w:rPr>
        <w:t>WHA:</w:t>
      </w:r>
      <w:r w:rsidR="0C5FAA87" w:rsidRPr="00F106F1">
        <w:rPr>
          <w:rFonts w:asciiTheme="minorHAnsi" w:hAnsiTheme="minorHAnsi" w:cstheme="minorHAnsi"/>
          <w:b/>
          <w:bCs/>
          <w:color w:val="auto"/>
          <w:sz w:val="24"/>
          <w:szCs w:val="24"/>
        </w:rPr>
        <w:t xml:space="preserve"> </w:t>
      </w:r>
      <w:r w:rsidR="61E4577B" w:rsidRPr="00F106F1">
        <w:rPr>
          <w:rFonts w:asciiTheme="minorHAnsi" w:hAnsiTheme="minorHAnsi" w:cstheme="minorHAnsi"/>
          <w:b/>
          <w:bCs/>
          <w:color w:val="auto"/>
          <w:sz w:val="24"/>
          <w:szCs w:val="24"/>
        </w:rPr>
        <w:t xml:space="preserve"> </w:t>
      </w:r>
      <w:r w:rsidR="0C5FAA87" w:rsidRPr="00F106F1">
        <w:rPr>
          <w:rFonts w:asciiTheme="minorHAnsi" w:hAnsiTheme="minorHAnsi" w:cstheme="minorHAnsi"/>
          <w:color w:val="auto"/>
          <w:sz w:val="24"/>
          <w:szCs w:val="24"/>
        </w:rPr>
        <w:t xml:space="preserve">Cuba, </w:t>
      </w:r>
      <w:r w:rsidR="3FE2F475" w:rsidRPr="00F106F1">
        <w:rPr>
          <w:rFonts w:asciiTheme="minorHAnsi" w:hAnsiTheme="minorHAnsi" w:cstheme="minorHAnsi"/>
          <w:color w:val="auto"/>
          <w:sz w:val="24"/>
          <w:szCs w:val="24"/>
        </w:rPr>
        <w:t xml:space="preserve">Curacao, </w:t>
      </w:r>
      <w:r w:rsidR="08469959" w:rsidRPr="00F106F1">
        <w:rPr>
          <w:rFonts w:asciiTheme="minorHAnsi" w:hAnsiTheme="minorHAnsi" w:cstheme="minorHAnsi"/>
          <w:color w:val="auto"/>
          <w:sz w:val="24"/>
          <w:szCs w:val="24"/>
        </w:rPr>
        <w:t>Nicaragua</w:t>
      </w:r>
      <w:r w:rsidR="33C0DD41" w:rsidRPr="00F106F1">
        <w:rPr>
          <w:rFonts w:asciiTheme="minorHAnsi" w:hAnsiTheme="minorHAnsi" w:cstheme="minorHAnsi"/>
          <w:color w:val="auto"/>
          <w:sz w:val="24"/>
          <w:szCs w:val="24"/>
        </w:rPr>
        <w:t xml:space="preserve">, </w:t>
      </w:r>
      <w:r w:rsidR="30079800" w:rsidRPr="00F106F1">
        <w:rPr>
          <w:rFonts w:asciiTheme="minorHAnsi" w:hAnsiTheme="minorHAnsi" w:cstheme="minorHAnsi"/>
          <w:color w:val="auto"/>
          <w:sz w:val="24"/>
          <w:szCs w:val="24"/>
        </w:rPr>
        <w:t>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0"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Reasons why established goals were not met;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ramework indicator(s) for the quarter as well as aggregate data by fiscal year</w:t>
      </w:r>
      <w:r w:rsidR="0C891CE9"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Program Indicators or other mutually agreed upon format approved by the Grants Officer</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47C04C5E"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r w:rsidR="009C3FE9">
        <w:rPr>
          <w:rFonts w:asciiTheme="minorHAnsi" w:eastAsia="Times New Roman" w:hAnsiTheme="minorHAnsi" w:cstheme="minorHAnsi"/>
          <w:sz w:val="24"/>
          <w:szCs w:val="24"/>
        </w:rPr>
        <w:t>DRL-TJ@state.gov</w:t>
      </w:r>
      <w:r w:rsidRPr="00AD1D9D">
        <w:rPr>
          <w:rFonts w:asciiTheme="minorHAnsi" w:eastAsia="Times New Roman" w:hAnsiTheme="minorHAnsi" w:cstheme="minorHAnsi"/>
          <w:sz w:val="24"/>
          <w:szCs w:val="24"/>
        </w:rPr>
        <w:t>.</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1"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2"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5"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5A75AB" w:rsidP="00DA36CE">
      <w:pPr>
        <w:pStyle w:val="NoSpacing"/>
        <w:rPr>
          <w:rFonts w:asciiTheme="minorHAnsi" w:hAnsiTheme="minorHAnsi" w:cstheme="minorHAnsi"/>
          <w:sz w:val="24"/>
          <w:szCs w:val="24"/>
        </w:rPr>
      </w:pPr>
      <w:hyperlink r:id="rId43" w:history="1">
        <w:r w:rsidR="00E63800" w:rsidRPr="00AD1D9D">
          <w:rPr>
            <w:rStyle w:val="Hyperlink"/>
            <w:rFonts w:asciiTheme="minorHAnsi" w:hAnsiTheme="minorHAnsi" w:cstheme="minorHAnsi"/>
            <w:sz w:val="24"/>
            <w:szCs w:val="24"/>
          </w:rPr>
          <w:t>https://www.opm.gov/policy-data-oversight/pay-leave/federal-holidays/</w:t>
        </w:r>
      </w:hyperlink>
    </w:p>
    <w:bookmarkEnd w:id="15"/>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4"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5"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6"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6" w:name="h.3dy6vkm" w:colFirst="0" w:colLast="0"/>
      <w:bookmarkEnd w:id="16"/>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7"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69t00">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 w:id="2">
    <w:p w14:paraId="70098AFB" w14:textId="77777777" w:rsidR="00D67B72" w:rsidRPr="00D67B72" w:rsidRDefault="00D67B72" w:rsidP="00D67B72">
      <w:pPr>
        <w:pStyle w:val="FootnoteText"/>
        <w:rPr>
          <w:rFonts w:asciiTheme="minorHAnsi" w:hAnsiTheme="minorHAnsi" w:cstheme="minorHAnsi"/>
        </w:rPr>
      </w:pPr>
      <w:r>
        <w:rPr>
          <w:rStyle w:val="FootnoteReference"/>
        </w:rPr>
        <w:footnoteRef/>
      </w:r>
      <w:r>
        <w:t xml:space="preserve"> </w:t>
      </w:r>
      <w:r w:rsidRPr="00D67B72">
        <w:rPr>
          <w:rFonts w:asciiTheme="minorHAnsi" w:hAnsiTheme="minorHAnsi" w:cstheme="minorHAnsi"/>
          <w:b/>
        </w:rPr>
        <w:t>Conflict-related sexual violence (CRSV)</w:t>
      </w:r>
      <w:r w:rsidRPr="00D67B72">
        <w:rPr>
          <w:rFonts w:asciiTheme="minorHAnsi" w:hAnsiTheme="minorHAnsi" w:cstheme="minorHAnsi"/>
        </w:rPr>
        <w:t xml:space="preserve"> refers to incidents or patterns of sexual violence that occur in conflict or post-conflict situations with a direct or indirect link to conflict. CRSV may include rape, sexual slavery, sex trafficking, forced pregnancy, forced sterilization, and any other form of sexual violence of comparable gravity, against individuals of all gender identities. Depending on the circumstances, acts of CRSV can constitute war crimes, crimes against humanity, or acts of genocide, and therefore may constitute crimes that are punishable under international law</w:t>
      </w:r>
    </w:p>
    <w:p w14:paraId="3925BA71" w14:textId="77777777" w:rsidR="00D67B72" w:rsidRPr="00D67B72" w:rsidRDefault="00D67B72" w:rsidP="00D67B72">
      <w:pPr>
        <w:pStyle w:val="FootnoteText"/>
        <w:rPr>
          <w:rFonts w:asciiTheme="minorHAnsi" w:hAnsiTheme="minorHAnsi" w:cstheme="minorHAnsi"/>
        </w:rPr>
      </w:pPr>
    </w:p>
  </w:footnote>
  <w:footnote w:id="3">
    <w:p w14:paraId="776E533E" w14:textId="77777777" w:rsidR="00D67B72" w:rsidRPr="00D67B72" w:rsidRDefault="00D67B72" w:rsidP="00D67B72">
      <w:pPr>
        <w:autoSpaceDE w:val="0"/>
        <w:autoSpaceDN w:val="0"/>
        <w:adjustRightInd w:val="0"/>
        <w:rPr>
          <w:rFonts w:asciiTheme="minorHAnsi" w:eastAsia="TT69t00" w:hAnsiTheme="minorHAnsi" w:cstheme="minorHAnsi"/>
          <w:sz w:val="20"/>
        </w:rPr>
      </w:pPr>
      <w:r w:rsidRPr="00D67B72">
        <w:rPr>
          <w:rStyle w:val="FootnoteReference"/>
          <w:rFonts w:asciiTheme="minorHAnsi" w:hAnsiTheme="minorHAnsi" w:cstheme="minorHAnsi"/>
          <w:sz w:val="20"/>
        </w:rPr>
        <w:footnoteRef/>
      </w:r>
      <w:r w:rsidRPr="00D67B72">
        <w:rPr>
          <w:rFonts w:asciiTheme="minorHAnsi" w:hAnsiTheme="minorHAnsi" w:cstheme="minorHAnsi"/>
          <w:sz w:val="20"/>
        </w:rPr>
        <w:t xml:space="preserve"> </w:t>
      </w:r>
      <w:r w:rsidRPr="00D67B72">
        <w:rPr>
          <w:rFonts w:asciiTheme="minorHAnsi" w:hAnsiTheme="minorHAnsi" w:cstheme="minorHAnsi"/>
          <w:b/>
          <w:sz w:val="20"/>
        </w:rPr>
        <w:t>Survivor-Centered Approach</w:t>
      </w:r>
      <w:r w:rsidRPr="00D67B72">
        <w:rPr>
          <w:rFonts w:asciiTheme="minorHAnsi" w:hAnsiTheme="minorHAnsi" w:cstheme="minorHAnsi"/>
          <w:sz w:val="20"/>
        </w:rPr>
        <w:t xml:space="preserve"> - </w:t>
      </w:r>
      <w:r w:rsidRPr="00D67B72">
        <w:rPr>
          <w:rFonts w:asciiTheme="minorHAnsi" w:eastAsia="TT69t00" w:hAnsiTheme="minorHAnsi" w:cstheme="minorHAnsi"/>
          <w:sz w:val="20"/>
        </w:rPr>
        <w:t>Placing the survivor’s priorities, needs, and interests at the center of the work with them; providing nonjudgmental assistance, with an emphasis on self-determination, and assisting victims in making informed choices; ensuring that restoring survivors’ feelings of safety and security are a priority and</w:t>
      </w:r>
      <w:r>
        <w:rPr>
          <w:rFonts w:ascii="Times New Roman" w:eastAsia="TT69t00" w:hAnsi="Times New Roman"/>
          <w:sz w:val="20"/>
        </w:rPr>
        <w:t xml:space="preserve"> </w:t>
      </w:r>
      <w:r w:rsidRPr="00D67B72">
        <w:rPr>
          <w:rFonts w:asciiTheme="minorHAnsi" w:eastAsia="TT69t00" w:hAnsiTheme="minorHAnsi" w:cstheme="minorHAnsi"/>
          <w:sz w:val="20"/>
        </w:rPr>
        <w:t>safeguarding against policies and practices that may inadvertently re-traumatize them. A survivor-centered approach should also incorporate a trauma-informed, survivor-informed, and culturally competent approach.</w:t>
      </w:r>
    </w:p>
    <w:p w14:paraId="68A20D0A" w14:textId="77777777" w:rsidR="00D67B72" w:rsidRPr="00D67B72" w:rsidRDefault="00D67B72" w:rsidP="00D67B72">
      <w:pPr>
        <w:pStyle w:val="FootnoteText"/>
        <w:rPr>
          <w:rFonts w:asciiTheme="minorHAnsi" w:eastAsia="TT69t00" w:hAnsiTheme="minorHAnsi" w:cstheme="minorHAnsi"/>
          <w:color w:val="000000"/>
        </w:rPr>
      </w:pPr>
      <w:r w:rsidRPr="00D67B72">
        <w:rPr>
          <w:rFonts w:asciiTheme="minorHAnsi" w:hAnsiTheme="minorHAnsi" w:cstheme="minorHAnsi"/>
          <w:b/>
        </w:rPr>
        <w:t>Trauma-Informed Approach</w:t>
      </w:r>
      <w:r w:rsidRPr="00D67B72">
        <w:rPr>
          <w:rFonts w:asciiTheme="minorHAnsi" w:hAnsiTheme="minorHAnsi" w:cstheme="minorHAnsi"/>
        </w:rPr>
        <w:t xml:space="preserve"> - </w:t>
      </w:r>
      <w:r w:rsidRPr="00D67B72">
        <w:rPr>
          <w:rFonts w:asciiTheme="minorHAnsi" w:eastAsia="TT69t00" w:hAnsiTheme="minorHAnsi" w:cstheme="minorHAnsi"/>
          <w:color w:val="000000"/>
        </w:rPr>
        <w:t xml:space="preserve">A trauma-informed approach recognizes signs of trauma in individuals and the professionals who help them and responds by integrating knowledge about trauma into policies, procedures, practices, and settings. This approach includes an understanding of the vulnerabilities and experiences of trauma survivors, including the prevalence and physical, social, and emotional impact of trauma. A trauma-informed approach places priority on restoring the survivor’s feelings of safety, choice, and control.  Programs, services, agencies and communities can be trauma-informed, as can support for staff implementing the work.  </w:t>
      </w:r>
      <w:r w:rsidRPr="00D67B72">
        <w:rPr>
          <w:rFonts w:asciiTheme="minorHAnsi" w:eastAsia="TT69t00" w:hAnsiTheme="minorHAnsi" w:cstheme="minorHAnsi"/>
          <w:color w:val="000000"/>
        </w:rPr>
        <w:br/>
      </w:r>
    </w:p>
    <w:p w14:paraId="2BDB2D5F" w14:textId="77777777" w:rsidR="00D67B72" w:rsidRPr="00D67B72" w:rsidRDefault="00D67B72" w:rsidP="00D67B72">
      <w:pPr>
        <w:pStyle w:val="FootnoteText"/>
        <w:rPr>
          <w:rFonts w:asciiTheme="minorHAnsi" w:eastAsia="TT69t00" w:hAnsiTheme="minorHAnsi" w:cstheme="minorHAnsi"/>
          <w:color w:val="000000"/>
        </w:rPr>
      </w:pPr>
      <w:r w:rsidRPr="00D67B72">
        <w:rPr>
          <w:rFonts w:asciiTheme="minorHAnsi" w:eastAsia="TT69t00" w:hAnsiTheme="minorHAnsi" w:cstheme="minorHAnsi"/>
          <w:b/>
          <w:color w:val="000000"/>
        </w:rPr>
        <w:t>Survivor-Informed Approach</w:t>
      </w:r>
      <w:r w:rsidRPr="00D67B72">
        <w:rPr>
          <w:rFonts w:asciiTheme="minorHAnsi" w:eastAsia="TT69t00" w:hAnsiTheme="minorHAnsi" w:cstheme="minorHAnsi"/>
          <w:color w:val="000000"/>
        </w:rPr>
        <w:t xml:space="preserve">-a program, policy, intervention, or product that is designed, implemented, and evaluated with intentional leadership, expertise and input from a diverse community of survivors to ensure that the program, policy, intervention or product accurately represents their needs, interests, and perceptions  </w:t>
      </w:r>
      <w:r w:rsidRPr="00D67B72">
        <w:rPr>
          <w:rFonts w:asciiTheme="minorHAnsi" w:eastAsia="TT69t00" w:hAnsiTheme="minorHAnsi" w:cstheme="minorHAnsi"/>
          <w:color w:val="000000"/>
        </w:rPr>
        <w:br/>
      </w:r>
    </w:p>
  </w:footnote>
  <w:footnote w:id="4">
    <w:p w14:paraId="12686F34" w14:textId="77777777" w:rsidR="00D67B72" w:rsidRDefault="00D67B72" w:rsidP="00D67B72">
      <w:pPr>
        <w:pStyle w:val="FootnoteText"/>
      </w:pPr>
      <w:r w:rsidRPr="00D67B72">
        <w:rPr>
          <w:rStyle w:val="FootnoteReference"/>
          <w:rFonts w:asciiTheme="minorHAnsi" w:hAnsiTheme="minorHAnsi" w:cstheme="minorHAnsi"/>
        </w:rPr>
        <w:footnoteRef/>
      </w:r>
      <w:r w:rsidRPr="00D67B72">
        <w:rPr>
          <w:rFonts w:asciiTheme="minorHAnsi" w:hAnsiTheme="minorHAnsi" w:cstheme="minorHAnsi"/>
        </w:rPr>
        <w:t xml:space="preserve"> CRSV investigation and documentation may be pursued inside and outside Ukraine.</w:t>
      </w:r>
      <w:r>
        <w:t xml:space="preserve">  </w:t>
      </w:r>
    </w:p>
  </w:footnote>
  <w:footnote w:id="5">
    <w:p w14:paraId="4B7EE1A0" w14:textId="77777777" w:rsidR="00D67B72" w:rsidRPr="00D67B72" w:rsidRDefault="00D67B72" w:rsidP="00D67B72">
      <w:pPr>
        <w:pStyle w:val="FootnoteText"/>
        <w:rPr>
          <w:rFonts w:asciiTheme="minorHAnsi" w:hAnsiTheme="minorHAnsi" w:cstheme="minorHAnsi"/>
        </w:rPr>
      </w:pPr>
      <w:r w:rsidRPr="00D67B72">
        <w:rPr>
          <w:rStyle w:val="FootnoteReference"/>
          <w:rFonts w:asciiTheme="minorHAnsi" w:hAnsiTheme="minorHAnsi" w:cstheme="minorHAnsi"/>
        </w:rPr>
        <w:footnoteRef/>
      </w:r>
      <w:r w:rsidRPr="00D67B72">
        <w:rPr>
          <w:rFonts w:asciiTheme="minorHAnsi" w:hAnsiTheme="minorHAnsi" w:cstheme="minorHAnsi"/>
        </w:rPr>
        <w:t xml:space="preserve"> Examples of engaging external groups in order to break the longstanding cycles of social stigma associated with CRSV and GBV may include implementing community-based programs incorporating elders and faith leaders, employing media campaigns and pursuing activities such as male-led education and trainings for men and boys.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3493068"/>
    <w:multiLevelType w:val="hybridMultilevel"/>
    <w:tmpl w:val="8B4689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7"/>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6"/>
  </w:num>
  <w:num w:numId="8" w16cid:durableId="1341197175">
    <w:abstractNumId w:val="13"/>
  </w:num>
  <w:num w:numId="9" w16cid:durableId="2010909139">
    <w:abstractNumId w:val="0"/>
  </w:num>
  <w:num w:numId="10" w16cid:durableId="424224806">
    <w:abstractNumId w:val="29"/>
  </w:num>
  <w:num w:numId="11" w16cid:durableId="1964732263">
    <w:abstractNumId w:val="8"/>
  </w:num>
  <w:num w:numId="12" w16cid:durableId="923345220">
    <w:abstractNumId w:val="25"/>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8"/>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30"/>
  </w:num>
  <w:num w:numId="32" w16cid:durableId="1226181100">
    <w:abstractNumId w:val="1"/>
  </w:num>
  <w:num w:numId="33" w16cid:durableId="1840258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3ABC"/>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A75AB"/>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3FE9"/>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67B72"/>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106F1"/>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congress.gov/bill/115th-congress/senate-bill/1141"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mailto:support@grants.gov" TargetMode="External"/><Relationship Id="rId47" Type="http://schemas.openxmlformats.org/officeDocument/2006/relationships/hyperlink" Target="https://www.state.gov/bureaus-offices/under-secretary-for-civilian-security-democracy-and-human-rights/bureau-of-democracy-human-rights-and-labor/"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state.gov/about-us-office-of-the-procurement-executive/" TargetMode="External"/><Relationship Id="rId46"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afsitsm.service-now.com/ilms/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retrieveECFR?gp=&amp;SID=027fb85899500d580fc71df69d11573a&amp;mc=true&amp;n=pt2.1.200&amp;r=PART&amp;ty=HTML%20-%20ap2.1.200_1521.i" TargetMode="External"/><Relationship Id="rId45" Type="http://schemas.openxmlformats.org/officeDocument/2006/relationships/hyperlink" Target="https://mygrants.servicenowservices.com"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fontTable" Target="fontTable.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file:///C:\Users\OKellyCA\AppData\Local\Microsoft\Windows\INetCache\Content.Outlook\ZN6WSCL2\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www.opm.gov/policy-data-oversight/pay-leave/federal-holidays/" TargetMode="External"/><Relationship Id="rId48" Type="http://schemas.openxmlformats.org/officeDocument/2006/relationships/header" Target="header1.xml"/><Relationship Id="rId8"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11576</Words>
  <Characters>65984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Diamond, Clara M</cp:lastModifiedBy>
  <cp:revision>3</cp:revision>
  <cp:lastPrinted>2018-11-19T16:01:00Z</cp:lastPrinted>
  <dcterms:created xsi:type="dcterms:W3CDTF">2023-03-14T16:02:00Z</dcterms:created>
  <dcterms:modified xsi:type="dcterms:W3CDTF">2023-03-14T16:11:00Z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