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49F9F" w14:textId="77777777" w:rsidR="00571460" w:rsidRPr="00571460" w:rsidRDefault="00220C26" w:rsidP="00571460">
      <w:pPr>
        <w:spacing w:after="0" w:line="240" w:lineRule="auto"/>
        <w:rPr>
          <w:b/>
          <w:bCs/>
        </w:rPr>
      </w:pPr>
      <w:r w:rsidRPr="00571460">
        <w:rPr>
          <w:b/>
          <w:bCs/>
        </w:rPr>
        <w:t>Question:</w:t>
      </w:r>
      <w:r w:rsidR="005453B3" w:rsidRPr="00571460">
        <w:rPr>
          <w:b/>
          <w:bCs/>
        </w:rPr>
        <w:t xml:space="preserve"> </w:t>
      </w:r>
      <w:r w:rsidRPr="00220C26">
        <w:rPr>
          <w:b/>
          <w:bCs/>
        </w:rPr>
        <w:t>Is an 18-month program for the same level of funding and scope of work acceptable?</w:t>
      </w:r>
      <w:r w:rsidRPr="00571460">
        <w:rPr>
          <w:b/>
          <w:bCs/>
        </w:rPr>
        <w:br/>
      </w:r>
    </w:p>
    <w:p w14:paraId="640549EA" w14:textId="7DEA4CE3" w:rsidR="00220C26" w:rsidRDefault="00220C26" w:rsidP="00571460">
      <w:pPr>
        <w:spacing w:after="0" w:line="240" w:lineRule="auto"/>
      </w:pPr>
      <w:r>
        <w:t>Answer: Yes, if the objectives can be achieved in this time frame.</w:t>
      </w:r>
    </w:p>
    <w:p w14:paraId="53E30789" w14:textId="77777777" w:rsidR="00571460" w:rsidRDefault="00571460" w:rsidP="00571460">
      <w:pPr>
        <w:spacing w:after="0" w:line="240" w:lineRule="auto"/>
      </w:pPr>
    </w:p>
    <w:p w14:paraId="0F2234FF" w14:textId="00BC53AF" w:rsidR="00220C26" w:rsidRPr="00571460" w:rsidRDefault="00220C26" w:rsidP="00571460">
      <w:pPr>
        <w:spacing w:after="0" w:line="240" w:lineRule="auto"/>
        <w:rPr>
          <w:b/>
          <w:bCs/>
        </w:rPr>
      </w:pPr>
      <w:r w:rsidRPr="00571460">
        <w:rPr>
          <w:b/>
          <w:bCs/>
        </w:rPr>
        <w:t>Question: Should the proposal contain objectives matching each provided project objective individually in the ‘scope of work’ annex, or is it enough that the proposal addresses all objectives by merging them?</w:t>
      </w:r>
    </w:p>
    <w:p w14:paraId="1FB0DBCE" w14:textId="77777777" w:rsidR="00571460" w:rsidRDefault="00571460" w:rsidP="00571460">
      <w:pPr>
        <w:spacing w:after="0" w:line="240" w:lineRule="auto"/>
      </w:pPr>
    </w:p>
    <w:p w14:paraId="28D4DE6C" w14:textId="47A4FDFE" w:rsidR="00220C26" w:rsidRDefault="00220C26" w:rsidP="00571460">
      <w:pPr>
        <w:spacing w:after="0" w:line="240" w:lineRule="auto"/>
      </w:pPr>
      <w:r>
        <w:t xml:space="preserve">Answer: The proposal can address each proposed objective individually or collectively.  </w:t>
      </w:r>
    </w:p>
    <w:p w14:paraId="4F11B2F6" w14:textId="77777777" w:rsidR="00571460" w:rsidRDefault="00571460" w:rsidP="00571460">
      <w:pPr>
        <w:spacing w:after="0" w:line="240" w:lineRule="auto"/>
        <w:rPr>
          <w:rFonts w:ascii="Calibri" w:eastAsia="Calibri" w:hAnsi="Calibri" w:cs="Calibri"/>
        </w:rPr>
      </w:pPr>
    </w:p>
    <w:p w14:paraId="327BE555" w14:textId="5EED4234" w:rsidR="00220C26" w:rsidRPr="00571460" w:rsidRDefault="00220C26" w:rsidP="00571460">
      <w:pPr>
        <w:spacing w:after="0" w:line="240" w:lineRule="auto"/>
        <w:rPr>
          <w:rFonts w:ascii="Calibri" w:eastAsia="Calibri" w:hAnsi="Calibri" w:cs="Calibri"/>
          <w:b/>
          <w:bCs/>
        </w:rPr>
      </w:pPr>
      <w:r w:rsidRPr="00571460">
        <w:rPr>
          <w:rFonts w:ascii="Calibri" w:eastAsia="Calibri" w:hAnsi="Calibri" w:cs="Calibri"/>
          <w:b/>
          <w:bCs/>
        </w:rPr>
        <w:t>Question: Given the stated goal of ensuring a representative “sub-set of European states,” it seems essential to include a diverse range of geographic, economic, linguistic, and cultural contexts within Europe. Could you clarify the intended geographic scope of this project? Specifically, could you provide a list of regions or countries that are expected to be part of this representative sub-set of European states?</w:t>
      </w:r>
    </w:p>
    <w:p w14:paraId="4FA2EB2D" w14:textId="77777777" w:rsidR="00571460" w:rsidRDefault="00571460" w:rsidP="00571460">
      <w:pPr>
        <w:spacing w:after="0" w:line="240" w:lineRule="auto"/>
        <w:rPr>
          <w:rFonts w:ascii="Calibri" w:eastAsia="Calibri" w:hAnsi="Calibri" w:cs="Calibri"/>
        </w:rPr>
      </w:pPr>
    </w:p>
    <w:p w14:paraId="436A3C95" w14:textId="22440BFD" w:rsidR="00220C26" w:rsidRPr="00220C26" w:rsidRDefault="00220C26" w:rsidP="00571460">
      <w:pPr>
        <w:spacing w:after="0" w:line="240" w:lineRule="auto"/>
        <w:rPr>
          <w:rFonts w:ascii="Calibri" w:eastAsia="Calibri" w:hAnsi="Calibri" w:cs="Calibri"/>
        </w:rPr>
      </w:pPr>
      <w:r>
        <w:rPr>
          <w:rFonts w:ascii="Calibri" w:eastAsia="Calibri" w:hAnsi="Calibri" w:cs="Calibri"/>
        </w:rPr>
        <w:t xml:space="preserve">Answer: For the purposes of this project, European states are understood to be those covered by the State Department’s Bureau of European and Eurasian Affairs, </w:t>
      </w:r>
      <w:hyperlink r:id="rId7" w:history="1">
        <w:r w:rsidRPr="00723417">
          <w:rPr>
            <w:rStyle w:val="Hyperlink"/>
            <w:rFonts w:ascii="Calibri" w:eastAsia="Calibri" w:hAnsi="Calibri" w:cs="Calibri"/>
          </w:rPr>
          <w:t>as defined in 1 FAM 140</w:t>
        </w:r>
      </w:hyperlink>
      <w:r>
        <w:rPr>
          <w:rFonts w:ascii="Calibri" w:eastAsia="Calibri" w:hAnsi="Calibri" w:cs="Calibri"/>
        </w:rPr>
        <w:t>.</w:t>
      </w:r>
    </w:p>
    <w:p w14:paraId="7F1A27DD" w14:textId="77777777" w:rsidR="00571460" w:rsidRDefault="00571460" w:rsidP="00571460">
      <w:pPr>
        <w:spacing w:after="0" w:line="240" w:lineRule="auto"/>
      </w:pPr>
    </w:p>
    <w:p w14:paraId="39B28298" w14:textId="38250413" w:rsidR="00D543CA" w:rsidRPr="00D543CA" w:rsidRDefault="00AB7756" w:rsidP="00571460">
      <w:pPr>
        <w:spacing w:after="0" w:line="240" w:lineRule="auto"/>
        <w:rPr>
          <w:b/>
          <w:bCs/>
        </w:rPr>
      </w:pPr>
      <w:r w:rsidRPr="00571460">
        <w:rPr>
          <w:b/>
          <w:bCs/>
        </w:rPr>
        <w:t xml:space="preserve">Question: </w:t>
      </w:r>
      <w:r w:rsidR="00D543CA" w:rsidRPr="00571460">
        <w:rPr>
          <w:b/>
          <w:bCs/>
        </w:rPr>
        <w:t xml:space="preserve">Does </w:t>
      </w:r>
      <w:r w:rsidR="00D543CA" w:rsidRPr="00D543CA">
        <w:rPr>
          <w:b/>
          <w:bCs/>
        </w:rPr>
        <w:t>the desired project focus include investigation into China's holistic sub-national diplomacy and influence toolkit and impact "on the ground" in select countries -- to include local engagement by Chinese SOEs and private companies, united front actors, officials etc -- or if the objective is a narrower focus on cataloguing and meta-analysis of PRC narratives, media engagement, and other data that could mainly be captured online?</w:t>
      </w:r>
    </w:p>
    <w:p w14:paraId="03D9727E" w14:textId="77777777" w:rsidR="00571460" w:rsidRDefault="00571460" w:rsidP="00571460">
      <w:pPr>
        <w:spacing w:after="0" w:line="240" w:lineRule="auto"/>
      </w:pPr>
    </w:p>
    <w:p w14:paraId="4915492C" w14:textId="297836C2" w:rsidR="00220C26" w:rsidRDefault="00AB7756" w:rsidP="00571460">
      <w:pPr>
        <w:spacing w:after="0" w:line="240" w:lineRule="auto"/>
      </w:pPr>
      <w:r>
        <w:t xml:space="preserve">Answer: Both could be included, but the focus should </w:t>
      </w:r>
      <w:r w:rsidR="00862742">
        <w:t>be on real-world engagement over narratives.</w:t>
      </w:r>
    </w:p>
    <w:p w14:paraId="208EECE8" w14:textId="77777777" w:rsidR="005A00CB" w:rsidRDefault="005A00CB" w:rsidP="00571460">
      <w:pPr>
        <w:spacing w:after="0" w:line="240" w:lineRule="auto"/>
      </w:pPr>
    </w:p>
    <w:p w14:paraId="0009750A" w14:textId="34820E18" w:rsidR="005A00CB" w:rsidRPr="00BB51C6" w:rsidRDefault="00BB51C6" w:rsidP="005A00CB">
      <w:pPr>
        <w:spacing w:after="0" w:line="276" w:lineRule="auto"/>
        <w:rPr>
          <w:rFonts w:ascii="Calibri" w:eastAsia="Calibri" w:hAnsi="Calibri" w:cs="Calibri"/>
          <w:b/>
          <w:bCs/>
          <w:sz w:val="24"/>
          <w:szCs w:val="24"/>
        </w:rPr>
      </w:pPr>
      <w:r>
        <w:rPr>
          <w:rFonts w:ascii="Calibri" w:eastAsia="Calibri" w:hAnsi="Calibri" w:cs="Calibri"/>
          <w:b/>
          <w:bCs/>
          <w:sz w:val="24"/>
          <w:szCs w:val="24"/>
        </w:rPr>
        <w:t xml:space="preserve">Question: </w:t>
      </w:r>
      <w:r w:rsidR="005A00CB" w:rsidRPr="00BB51C6">
        <w:rPr>
          <w:rFonts w:ascii="Calibri" w:eastAsia="Calibri" w:hAnsi="Calibri" w:cs="Calibri"/>
          <w:b/>
          <w:bCs/>
          <w:sz w:val="24"/>
          <w:szCs w:val="24"/>
        </w:rPr>
        <w:t xml:space="preserve">What is the preferred number of countries for case studies? </w:t>
      </w:r>
    </w:p>
    <w:p w14:paraId="36F95DF4" w14:textId="5F919CA2" w:rsidR="005A00CB" w:rsidRDefault="005A00CB" w:rsidP="005A00CB">
      <w:pPr>
        <w:spacing w:after="0" w:line="276" w:lineRule="auto"/>
        <w:rPr>
          <w:rFonts w:ascii="Calibri" w:eastAsia="Calibri" w:hAnsi="Calibri" w:cs="Calibri"/>
          <w:sz w:val="24"/>
          <w:szCs w:val="24"/>
        </w:rPr>
      </w:pPr>
    </w:p>
    <w:p w14:paraId="6D137839" w14:textId="41BC0959" w:rsidR="005A00CB" w:rsidRDefault="00BB51C6" w:rsidP="005A00CB">
      <w:pPr>
        <w:spacing w:after="0" w:line="276" w:lineRule="auto"/>
        <w:rPr>
          <w:rFonts w:ascii="Calibri" w:eastAsia="Calibri" w:hAnsi="Calibri" w:cs="Calibri"/>
          <w:sz w:val="24"/>
          <w:szCs w:val="24"/>
        </w:rPr>
      </w:pPr>
      <w:r>
        <w:rPr>
          <w:rFonts w:ascii="Calibri" w:eastAsia="Calibri" w:hAnsi="Calibri" w:cs="Calibri"/>
          <w:sz w:val="24"/>
          <w:szCs w:val="24"/>
        </w:rPr>
        <w:t xml:space="preserve">Answer: </w:t>
      </w:r>
      <w:r w:rsidR="005A00CB">
        <w:rPr>
          <w:rFonts w:ascii="Calibri" w:eastAsia="Calibri" w:hAnsi="Calibri" w:cs="Calibri"/>
          <w:sz w:val="24"/>
          <w:szCs w:val="24"/>
        </w:rPr>
        <w:t xml:space="preserve">There is no specific number, but case studies should include enough countries to </w:t>
      </w:r>
      <w:r w:rsidR="001F198D">
        <w:rPr>
          <w:rFonts w:ascii="Calibri" w:eastAsia="Calibri" w:hAnsi="Calibri" w:cs="Calibri"/>
          <w:sz w:val="24"/>
          <w:szCs w:val="24"/>
        </w:rPr>
        <w:t>produce a representative sample</w:t>
      </w:r>
      <w:r>
        <w:rPr>
          <w:rFonts w:ascii="Calibri" w:eastAsia="Calibri" w:hAnsi="Calibri" w:cs="Calibri"/>
          <w:sz w:val="24"/>
          <w:szCs w:val="24"/>
        </w:rPr>
        <w:t>, for example,</w:t>
      </w:r>
      <w:r w:rsidR="007002FD">
        <w:rPr>
          <w:rFonts w:ascii="Calibri" w:eastAsia="Calibri" w:hAnsi="Calibri" w:cs="Calibri"/>
          <w:sz w:val="24"/>
          <w:szCs w:val="24"/>
        </w:rPr>
        <w:t xml:space="preserve"> geographically (</w:t>
      </w:r>
      <w:r>
        <w:rPr>
          <w:rFonts w:ascii="Calibri" w:eastAsia="Calibri" w:hAnsi="Calibri" w:cs="Calibri"/>
          <w:sz w:val="24"/>
          <w:szCs w:val="24"/>
        </w:rPr>
        <w:t>Northern, Western, Southeran, Eastern)</w:t>
      </w:r>
      <w:r w:rsidR="007002FD">
        <w:rPr>
          <w:rFonts w:ascii="Calibri" w:eastAsia="Calibri" w:hAnsi="Calibri" w:cs="Calibri"/>
          <w:sz w:val="24"/>
          <w:szCs w:val="24"/>
        </w:rPr>
        <w:t>, politically</w:t>
      </w:r>
      <w:r>
        <w:rPr>
          <w:rFonts w:ascii="Calibri" w:eastAsia="Calibri" w:hAnsi="Calibri" w:cs="Calibri"/>
          <w:sz w:val="24"/>
          <w:szCs w:val="24"/>
        </w:rPr>
        <w:t xml:space="preserve"> (EU and non-EU members, NATO and non-NATO members, etc.</w:t>
      </w:r>
      <w:proofErr w:type="gramStart"/>
      <w:r>
        <w:rPr>
          <w:rFonts w:ascii="Calibri" w:eastAsia="Calibri" w:hAnsi="Calibri" w:cs="Calibri"/>
          <w:sz w:val="24"/>
          <w:szCs w:val="24"/>
        </w:rPr>
        <w:t xml:space="preserve">) </w:t>
      </w:r>
      <w:r w:rsidR="007002FD">
        <w:rPr>
          <w:rFonts w:ascii="Calibri" w:eastAsia="Calibri" w:hAnsi="Calibri" w:cs="Calibri"/>
          <w:sz w:val="24"/>
          <w:szCs w:val="24"/>
        </w:rPr>
        <w:t>,</w:t>
      </w:r>
      <w:proofErr w:type="gramEnd"/>
      <w:r w:rsidR="007002FD">
        <w:rPr>
          <w:rFonts w:ascii="Calibri" w:eastAsia="Calibri" w:hAnsi="Calibri" w:cs="Calibri"/>
          <w:sz w:val="24"/>
          <w:szCs w:val="24"/>
        </w:rPr>
        <w:t xml:space="preserve"> and economically</w:t>
      </w:r>
      <w:r>
        <w:rPr>
          <w:rFonts w:ascii="Calibri" w:eastAsia="Calibri" w:hAnsi="Calibri" w:cs="Calibri"/>
          <w:sz w:val="24"/>
          <w:szCs w:val="24"/>
        </w:rPr>
        <w:t xml:space="preserve"> (low, middle, and high income). </w:t>
      </w:r>
    </w:p>
    <w:p w14:paraId="2F7370D7" w14:textId="77777777" w:rsidR="005A00CB" w:rsidRDefault="005A00CB" w:rsidP="005A00CB">
      <w:pPr>
        <w:spacing w:after="0" w:line="276" w:lineRule="auto"/>
        <w:ind w:left="360"/>
        <w:rPr>
          <w:rFonts w:ascii="Calibri" w:eastAsia="Calibri" w:hAnsi="Calibri" w:cs="Calibri"/>
          <w:sz w:val="24"/>
          <w:szCs w:val="24"/>
        </w:rPr>
      </w:pPr>
    </w:p>
    <w:p w14:paraId="05DBA8E0" w14:textId="065B6579" w:rsidR="005A00CB" w:rsidRPr="00BB51C6" w:rsidRDefault="00BB51C6" w:rsidP="005A00CB">
      <w:pPr>
        <w:spacing w:after="0" w:line="276" w:lineRule="auto"/>
        <w:rPr>
          <w:rFonts w:ascii="Calibri" w:eastAsia="Calibri" w:hAnsi="Calibri" w:cs="Calibri"/>
          <w:b/>
          <w:bCs/>
          <w:sz w:val="24"/>
          <w:szCs w:val="24"/>
        </w:rPr>
      </w:pPr>
      <w:r w:rsidRPr="00BB51C6">
        <w:rPr>
          <w:rFonts w:ascii="Calibri" w:eastAsia="Calibri" w:hAnsi="Calibri" w:cs="Calibri"/>
          <w:b/>
          <w:bCs/>
          <w:sz w:val="24"/>
          <w:szCs w:val="24"/>
        </w:rPr>
        <w:t xml:space="preserve">Question: </w:t>
      </w:r>
      <w:r w:rsidR="005A00CB" w:rsidRPr="00BB51C6">
        <w:rPr>
          <w:rFonts w:ascii="Calibri" w:eastAsia="Calibri" w:hAnsi="Calibri" w:cs="Calibri"/>
          <w:b/>
          <w:bCs/>
          <w:sz w:val="24"/>
          <w:szCs w:val="24"/>
        </w:rPr>
        <w:t>What are the priority regions and countries for these case studies? Does Europe for this NOFO include Eurasia? Should countries with ongoing conflict (e.g., Russia and Ukraine) be excluded from the list of countries?</w:t>
      </w:r>
    </w:p>
    <w:p w14:paraId="02F24675" w14:textId="77777777" w:rsidR="001F198D" w:rsidRDefault="001F198D" w:rsidP="005A00CB">
      <w:pPr>
        <w:spacing w:after="0" w:line="276" w:lineRule="auto"/>
        <w:rPr>
          <w:rFonts w:ascii="Calibri" w:eastAsia="Calibri" w:hAnsi="Calibri" w:cs="Calibri"/>
          <w:sz w:val="24"/>
          <w:szCs w:val="24"/>
        </w:rPr>
      </w:pPr>
    </w:p>
    <w:p w14:paraId="5E98A3CC" w14:textId="3E882110" w:rsidR="001F198D" w:rsidRPr="0041436C" w:rsidRDefault="00BB51C6" w:rsidP="005A00CB">
      <w:pPr>
        <w:spacing w:after="0" w:line="276" w:lineRule="auto"/>
        <w:rPr>
          <w:rFonts w:ascii="Calibri" w:eastAsia="Calibri" w:hAnsi="Calibri" w:cs="Calibri"/>
          <w:sz w:val="24"/>
          <w:szCs w:val="24"/>
        </w:rPr>
      </w:pPr>
      <w:r>
        <w:rPr>
          <w:rFonts w:ascii="Calibri" w:eastAsia="Calibri" w:hAnsi="Calibri" w:cs="Calibri"/>
          <w:sz w:val="24"/>
          <w:szCs w:val="24"/>
        </w:rPr>
        <w:t xml:space="preserve">Answer: </w:t>
      </w:r>
      <w:r w:rsidR="001F198D">
        <w:rPr>
          <w:rFonts w:ascii="Calibri" w:eastAsia="Calibri" w:hAnsi="Calibri" w:cs="Calibri"/>
          <w:sz w:val="24"/>
          <w:szCs w:val="24"/>
        </w:rPr>
        <w:t xml:space="preserve">As stated above, Europe for this NOFO includes the European countries </w:t>
      </w:r>
      <w:r w:rsidR="001F198D">
        <w:rPr>
          <w:rFonts w:ascii="Calibri" w:eastAsia="Calibri" w:hAnsi="Calibri" w:cs="Calibri"/>
        </w:rPr>
        <w:t xml:space="preserve">covered by the State Department’s Bureau of European and Eurasian Affairs, </w:t>
      </w:r>
      <w:hyperlink r:id="rId8" w:history="1">
        <w:r w:rsidR="001F198D" w:rsidRPr="00723417">
          <w:rPr>
            <w:rStyle w:val="Hyperlink"/>
            <w:rFonts w:ascii="Calibri" w:eastAsia="Calibri" w:hAnsi="Calibri" w:cs="Calibri"/>
          </w:rPr>
          <w:t>as defined in 1 FAM 140</w:t>
        </w:r>
      </w:hyperlink>
      <w:r w:rsidR="0041436C">
        <w:rPr>
          <w:rStyle w:val="Hyperlink"/>
          <w:rFonts w:ascii="Calibri" w:eastAsia="Calibri" w:hAnsi="Calibri" w:cs="Calibri"/>
          <w:color w:val="auto"/>
          <w:u w:val="none"/>
        </w:rPr>
        <w:t>.  Countries with ongoing conflict could be included depending on the implementer’s approach.</w:t>
      </w:r>
    </w:p>
    <w:p w14:paraId="331658DE" w14:textId="77777777" w:rsidR="005A00CB" w:rsidRDefault="005A00CB" w:rsidP="005A00CB">
      <w:pPr>
        <w:spacing w:after="0" w:line="276" w:lineRule="auto"/>
        <w:rPr>
          <w:rFonts w:ascii="Calibri" w:eastAsia="Calibri" w:hAnsi="Calibri" w:cs="Calibri"/>
          <w:sz w:val="24"/>
          <w:szCs w:val="24"/>
        </w:rPr>
      </w:pPr>
    </w:p>
    <w:p w14:paraId="56EA3B3E" w14:textId="444E5A05" w:rsidR="005A00CB" w:rsidRPr="00BB51C6" w:rsidRDefault="00BB51C6" w:rsidP="005A00CB">
      <w:pPr>
        <w:spacing w:after="0" w:line="276" w:lineRule="auto"/>
        <w:rPr>
          <w:rFonts w:ascii="Calibri" w:eastAsia="Calibri" w:hAnsi="Calibri" w:cs="Calibri"/>
          <w:b/>
          <w:bCs/>
          <w:sz w:val="24"/>
          <w:szCs w:val="24"/>
        </w:rPr>
      </w:pPr>
      <w:r w:rsidRPr="00BB51C6">
        <w:rPr>
          <w:rFonts w:ascii="Calibri" w:eastAsia="Calibri" w:hAnsi="Calibri" w:cs="Calibri"/>
          <w:b/>
          <w:bCs/>
          <w:sz w:val="24"/>
          <w:szCs w:val="24"/>
        </w:rPr>
        <w:t xml:space="preserve">Question: </w:t>
      </w:r>
      <w:r w:rsidR="005A00CB" w:rsidRPr="00BB51C6">
        <w:rPr>
          <w:rFonts w:ascii="Calibri" w:eastAsia="Calibri" w:hAnsi="Calibri" w:cs="Calibri"/>
          <w:b/>
          <w:bCs/>
          <w:sz w:val="24"/>
          <w:szCs w:val="24"/>
        </w:rPr>
        <w:t>There are two deadlines for the application, one for D.C. time and one for LOCAL time. Are these different deadlines? How is LOCAL TIME to be interpreted? Is that the local time in Athens or the local time for the organization submitting the proposal?</w:t>
      </w:r>
    </w:p>
    <w:p w14:paraId="0D9A539E" w14:textId="77777777" w:rsidR="008D0392" w:rsidRDefault="008D0392" w:rsidP="005A00CB">
      <w:pPr>
        <w:spacing w:after="0" w:line="276" w:lineRule="auto"/>
        <w:rPr>
          <w:rFonts w:ascii="Calibri" w:eastAsia="Calibri" w:hAnsi="Calibri" w:cs="Calibri"/>
          <w:sz w:val="24"/>
          <w:szCs w:val="24"/>
        </w:rPr>
      </w:pPr>
    </w:p>
    <w:p w14:paraId="6B4AA930" w14:textId="013EFBEC" w:rsidR="008D0392" w:rsidRDefault="00BB51C6" w:rsidP="005A00CB">
      <w:pPr>
        <w:spacing w:after="0" w:line="276" w:lineRule="auto"/>
        <w:rPr>
          <w:rFonts w:ascii="Calibri" w:eastAsia="Calibri" w:hAnsi="Calibri" w:cs="Calibri"/>
          <w:sz w:val="24"/>
          <w:szCs w:val="24"/>
        </w:rPr>
      </w:pPr>
      <w:r>
        <w:rPr>
          <w:rFonts w:ascii="Calibri" w:eastAsia="Calibri" w:hAnsi="Calibri" w:cs="Calibri"/>
          <w:sz w:val="24"/>
          <w:szCs w:val="24"/>
        </w:rPr>
        <w:t xml:space="preserve">Answer: </w:t>
      </w:r>
      <w:r w:rsidR="008D0392">
        <w:rPr>
          <w:rFonts w:ascii="Calibri" w:eastAsia="Calibri" w:hAnsi="Calibri" w:cs="Calibri"/>
          <w:sz w:val="24"/>
          <w:szCs w:val="24"/>
        </w:rPr>
        <w:t>The deadline for the application is</w:t>
      </w:r>
      <w:r w:rsidR="007002FD">
        <w:rPr>
          <w:rFonts w:ascii="Calibri" w:eastAsia="Calibri" w:hAnsi="Calibri" w:cs="Calibri"/>
          <w:sz w:val="24"/>
          <w:szCs w:val="24"/>
        </w:rPr>
        <w:t xml:space="preserve"> 11:59 p.m. August 9.</w:t>
      </w:r>
    </w:p>
    <w:p w14:paraId="32F51A94" w14:textId="77777777" w:rsidR="005A00CB" w:rsidRDefault="005A00CB" w:rsidP="00571460">
      <w:pPr>
        <w:spacing w:after="0" w:line="240" w:lineRule="auto"/>
      </w:pPr>
    </w:p>
    <w:sectPr w:rsidR="005A00C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FA2EA" w14:textId="77777777" w:rsidR="0015377F" w:rsidRDefault="0015377F" w:rsidP="0015377F">
      <w:pPr>
        <w:spacing w:after="0" w:line="240" w:lineRule="auto"/>
      </w:pPr>
      <w:r>
        <w:separator/>
      </w:r>
    </w:p>
  </w:endnote>
  <w:endnote w:type="continuationSeparator" w:id="0">
    <w:p w14:paraId="4C83D57A" w14:textId="77777777" w:rsidR="0015377F" w:rsidRDefault="0015377F" w:rsidP="0015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8319D1" w14:textId="77777777" w:rsidR="0015377F" w:rsidRDefault="0015377F" w:rsidP="0015377F">
      <w:pPr>
        <w:spacing w:after="0" w:line="240" w:lineRule="auto"/>
      </w:pPr>
      <w:r>
        <w:separator/>
      </w:r>
    </w:p>
  </w:footnote>
  <w:footnote w:type="continuationSeparator" w:id="0">
    <w:p w14:paraId="6F7267AA" w14:textId="77777777" w:rsidR="0015377F" w:rsidRDefault="0015377F" w:rsidP="00153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DA8ED" w14:textId="77777777" w:rsidR="0015377F" w:rsidRDefault="0015377F" w:rsidP="0015377F">
    <w:pPr>
      <w:pStyle w:val="Header"/>
      <w:jc w:val="center"/>
    </w:pPr>
    <w:r>
      <w:t>Questions and Answers Document</w:t>
    </w:r>
  </w:p>
  <w:p w14:paraId="0CC5AD1A" w14:textId="3E07E5B6" w:rsidR="0015377F" w:rsidRDefault="0015377F" w:rsidP="0015377F">
    <w:pPr>
      <w:pStyle w:val="Header"/>
      <w:jc w:val="center"/>
    </w:pPr>
    <w:r>
      <w:t xml:space="preserve">Opportunity Number: </w:t>
    </w:r>
    <w:r w:rsidR="005453B3" w:rsidRPr="005453B3">
      <w:t>CPIF-GR-ESF-001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2ED8E"/>
    <w:multiLevelType w:val="hybridMultilevel"/>
    <w:tmpl w:val="1BC23394"/>
    <w:lvl w:ilvl="0" w:tplc="1F08D03A">
      <w:start w:val="1"/>
      <w:numFmt w:val="decimal"/>
      <w:lvlText w:val="%1)"/>
      <w:lvlJc w:val="left"/>
      <w:pPr>
        <w:ind w:left="720" w:hanging="360"/>
      </w:pPr>
    </w:lvl>
    <w:lvl w:ilvl="1" w:tplc="C03AF446">
      <w:start w:val="1"/>
      <w:numFmt w:val="lowerLetter"/>
      <w:lvlText w:val="%2."/>
      <w:lvlJc w:val="left"/>
      <w:pPr>
        <w:ind w:left="1440" w:hanging="360"/>
      </w:pPr>
    </w:lvl>
    <w:lvl w:ilvl="2" w:tplc="C8621224">
      <w:start w:val="1"/>
      <w:numFmt w:val="lowerRoman"/>
      <w:lvlText w:val="%3."/>
      <w:lvlJc w:val="right"/>
      <w:pPr>
        <w:ind w:left="2160" w:hanging="180"/>
      </w:pPr>
    </w:lvl>
    <w:lvl w:ilvl="3" w:tplc="5F3C1596">
      <w:start w:val="1"/>
      <w:numFmt w:val="decimal"/>
      <w:lvlText w:val="%4."/>
      <w:lvlJc w:val="left"/>
      <w:pPr>
        <w:ind w:left="2880" w:hanging="360"/>
      </w:pPr>
    </w:lvl>
    <w:lvl w:ilvl="4" w:tplc="63BEEA80">
      <w:start w:val="1"/>
      <w:numFmt w:val="lowerLetter"/>
      <w:lvlText w:val="%5."/>
      <w:lvlJc w:val="left"/>
      <w:pPr>
        <w:ind w:left="3600" w:hanging="360"/>
      </w:pPr>
    </w:lvl>
    <w:lvl w:ilvl="5" w:tplc="B07064FE">
      <w:start w:val="1"/>
      <w:numFmt w:val="lowerRoman"/>
      <w:lvlText w:val="%6."/>
      <w:lvlJc w:val="right"/>
      <w:pPr>
        <w:ind w:left="4320" w:hanging="180"/>
      </w:pPr>
    </w:lvl>
    <w:lvl w:ilvl="6" w:tplc="CFE4E84C">
      <w:start w:val="1"/>
      <w:numFmt w:val="decimal"/>
      <w:lvlText w:val="%7."/>
      <w:lvlJc w:val="left"/>
      <w:pPr>
        <w:ind w:left="5040" w:hanging="360"/>
      </w:pPr>
    </w:lvl>
    <w:lvl w:ilvl="7" w:tplc="434AFBC4">
      <w:start w:val="1"/>
      <w:numFmt w:val="lowerLetter"/>
      <w:lvlText w:val="%8."/>
      <w:lvlJc w:val="left"/>
      <w:pPr>
        <w:ind w:left="5760" w:hanging="360"/>
      </w:pPr>
    </w:lvl>
    <w:lvl w:ilvl="8" w:tplc="2A764FBC">
      <w:start w:val="1"/>
      <w:numFmt w:val="lowerRoman"/>
      <w:lvlText w:val="%9."/>
      <w:lvlJc w:val="right"/>
      <w:pPr>
        <w:ind w:left="6480" w:hanging="180"/>
      </w:pPr>
    </w:lvl>
  </w:abstractNum>
  <w:abstractNum w:abstractNumId="1" w15:restartNumberingAfterBreak="0">
    <w:nsid w:val="42B55B45"/>
    <w:multiLevelType w:val="multilevel"/>
    <w:tmpl w:val="7B96A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63623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1992858">
    <w:abstractNumId w:val="0"/>
  </w:num>
  <w:num w:numId="3" w16cid:durableId="76951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7F"/>
    <w:rsid w:val="0015377F"/>
    <w:rsid w:val="001F198D"/>
    <w:rsid w:val="00220C26"/>
    <w:rsid w:val="002B4938"/>
    <w:rsid w:val="0041436C"/>
    <w:rsid w:val="005453B3"/>
    <w:rsid w:val="00571460"/>
    <w:rsid w:val="005A00CB"/>
    <w:rsid w:val="007002FD"/>
    <w:rsid w:val="00723417"/>
    <w:rsid w:val="00774731"/>
    <w:rsid w:val="00793CA9"/>
    <w:rsid w:val="007D722B"/>
    <w:rsid w:val="00862742"/>
    <w:rsid w:val="008D0392"/>
    <w:rsid w:val="00AB7756"/>
    <w:rsid w:val="00B14091"/>
    <w:rsid w:val="00B473C2"/>
    <w:rsid w:val="00BB51C6"/>
    <w:rsid w:val="00D543CA"/>
    <w:rsid w:val="00F60AC9"/>
    <w:rsid w:val="00FF0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4E750"/>
  <w15:chartTrackingRefBased/>
  <w15:docId w15:val="{6396AF38-0E17-4AF9-B01B-AD9BD50B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77F"/>
  </w:style>
  <w:style w:type="paragraph" w:styleId="Footer">
    <w:name w:val="footer"/>
    <w:basedOn w:val="Normal"/>
    <w:link w:val="FooterChar"/>
    <w:uiPriority w:val="99"/>
    <w:unhideWhenUsed/>
    <w:rsid w:val="00153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77F"/>
  </w:style>
  <w:style w:type="paragraph" w:styleId="ListParagraph">
    <w:name w:val="List Paragraph"/>
    <w:basedOn w:val="Normal"/>
    <w:uiPriority w:val="34"/>
    <w:qFormat/>
    <w:rsid w:val="005453B3"/>
    <w:pPr>
      <w:ind w:left="720"/>
      <w:contextualSpacing/>
    </w:pPr>
  </w:style>
  <w:style w:type="character" w:styleId="Hyperlink">
    <w:name w:val="Hyperlink"/>
    <w:basedOn w:val="DefaultParagraphFont"/>
    <w:uiPriority w:val="99"/>
    <w:unhideWhenUsed/>
    <w:rsid w:val="00723417"/>
    <w:rPr>
      <w:color w:val="0563C1" w:themeColor="hyperlink"/>
      <w:u w:val="single"/>
    </w:rPr>
  </w:style>
  <w:style w:type="character" w:styleId="UnresolvedMention">
    <w:name w:val="Unresolved Mention"/>
    <w:basedOn w:val="DefaultParagraphFont"/>
    <w:uiPriority w:val="99"/>
    <w:semiHidden/>
    <w:unhideWhenUsed/>
    <w:rsid w:val="00723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6685">
      <w:bodyDiv w:val="1"/>
      <w:marLeft w:val="0"/>
      <w:marRight w:val="0"/>
      <w:marTop w:val="0"/>
      <w:marBottom w:val="0"/>
      <w:divBdr>
        <w:top w:val="none" w:sz="0" w:space="0" w:color="auto"/>
        <w:left w:val="none" w:sz="0" w:space="0" w:color="auto"/>
        <w:bottom w:val="none" w:sz="0" w:space="0" w:color="auto"/>
        <w:right w:val="none" w:sz="0" w:space="0" w:color="auto"/>
      </w:divBdr>
    </w:div>
    <w:div w:id="369184841">
      <w:bodyDiv w:val="1"/>
      <w:marLeft w:val="0"/>
      <w:marRight w:val="0"/>
      <w:marTop w:val="0"/>
      <w:marBottom w:val="0"/>
      <w:divBdr>
        <w:top w:val="none" w:sz="0" w:space="0" w:color="auto"/>
        <w:left w:val="none" w:sz="0" w:space="0" w:color="auto"/>
        <w:bottom w:val="none" w:sz="0" w:space="0" w:color="auto"/>
        <w:right w:val="none" w:sz="0" w:space="0" w:color="auto"/>
      </w:divBdr>
    </w:div>
    <w:div w:id="707921581">
      <w:bodyDiv w:val="1"/>
      <w:marLeft w:val="0"/>
      <w:marRight w:val="0"/>
      <w:marTop w:val="0"/>
      <w:marBottom w:val="0"/>
      <w:divBdr>
        <w:top w:val="none" w:sz="0" w:space="0" w:color="auto"/>
        <w:left w:val="none" w:sz="0" w:space="0" w:color="auto"/>
        <w:bottom w:val="none" w:sz="0" w:space="0" w:color="auto"/>
        <w:right w:val="none" w:sz="0" w:space="0" w:color="auto"/>
      </w:divBdr>
    </w:div>
    <w:div w:id="819077067">
      <w:bodyDiv w:val="1"/>
      <w:marLeft w:val="0"/>
      <w:marRight w:val="0"/>
      <w:marTop w:val="0"/>
      <w:marBottom w:val="0"/>
      <w:divBdr>
        <w:top w:val="none" w:sz="0" w:space="0" w:color="auto"/>
        <w:left w:val="none" w:sz="0" w:space="0" w:color="auto"/>
        <w:bottom w:val="none" w:sz="0" w:space="0" w:color="auto"/>
        <w:right w:val="none" w:sz="0" w:space="0" w:color="auto"/>
      </w:divBdr>
    </w:div>
    <w:div w:id="1136218651">
      <w:bodyDiv w:val="1"/>
      <w:marLeft w:val="0"/>
      <w:marRight w:val="0"/>
      <w:marTop w:val="0"/>
      <w:marBottom w:val="0"/>
      <w:divBdr>
        <w:top w:val="none" w:sz="0" w:space="0" w:color="auto"/>
        <w:left w:val="none" w:sz="0" w:space="0" w:color="auto"/>
        <w:bottom w:val="none" w:sz="0" w:space="0" w:color="auto"/>
        <w:right w:val="none" w:sz="0" w:space="0" w:color="auto"/>
      </w:divBdr>
    </w:div>
    <w:div w:id="172991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am.state.gov/FAM/01FAM/01FAM0140.html" TargetMode="External"/><Relationship Id="rId3" Type="http://schemas.openxmlformats.org/officeDocument/2006/relationships/settings" Target="settings.xml"/><Relationship Id="rId7" Type="http://schemas.openxmlformats.org/officeDocument/2006/relationships/hyperlink" Target="https://fam.state.gov/FAM/01FAM/01FAM014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Carrada, Patricia A</dc:creator>
  <cp:keywords/>
  <dc:description/>
  <cp:lastModifiedBy>Timm-Brock, Brian A (Athens)</cp:lastModifiedBy>
  <cp:revision>13</cp:revision>
  <dcterms:created xsi:type="dcterms:W3CDTF">2024-08-01T13:17:00Z</dcterms:created>
  <dcterms:modified xsi:type="dcterms:W3CDTF">2024-08-05T05:50:00Z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CarradaPA@state.gov</vt:lpwstr>
  </property>
  <property fmtid="{D5CDD505-2E9C-101B-9397-08002B2CF9AE}" pid="5" name="MSIP_Label_1665d9ee-429a-4d5f-97cc-cfb56e044a6e_SetDate">
    <vt:lpwstr>2021-07-19T17:10:47.5601670Z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72536778-7e36-4876-a2cc-4bde1d4cfcd1</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