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660F8" w14:textId="77777777" w:rsidR="006B065B" w:rsidRPr="00295196" w:rsidRDefault="006B065B" w:rsidP="006B065B">
      <w:pPr>
        <w:pStyle w:val="Heading2"/>
        <w:rPr>
          <w:rFonts w:ascii="Verdana" w:eastAsiaTheme="minorHAnsi" w:hAnsi="Verdana"/>
          <w:sz w:val="20"/>
        </w:rPr>
      </w:pPr>
      <w:bookmarkStart w:id="0" w:name="_Toc517865367"/>
      <w:r w:rsidRPr="00295196">
        <w:rPr>
          <w:rFonts w:ascii="Verdana" w:eastAsiaTheme="minorHAnsi" w:hAnsi="Verdana"/>
          <w:sz w:val="20"/>
        </w:rPr>
        <w:t>A</w:t>
      </w:r>
      <w:r>
        <w:rPr>
          <w:rFonts w:ascii="Verdana" w:eastAsiaTheme="minorHAnsi" w:hAnsi="Verdana"/>
          <w:sz w:val="20"/>
        </w:rPr>
        <w:t>ttachment</w:t>
      </w:r>
      <w:r w:rsidRPr="00295196">
        <w:rPr>
          <w:rFonts w:ascii="Verdana" w:eastAsiaTheme="minorHAnsi" w:hAnsi="Verdana"/>
          <w:sz w:val="20"/>
        </w:rPr>
        <w:t xml:space="preserve"> </w:t>
      </w:r>
      <w:r>
        <w:rPr>
          <w:rFonts w:ascii="Verdana" w:eastAsiaTheme="minorHAnsi" w:hAnsi="Verdana"/>
          <w:sz w:val="20"/>
        </w:rPr>
        <w:t>4</w:t>
      </w:r>
      <w:r w:rsidRPr="00295196">
        <w:rPr>
          <w:rFonts w:ascii="Verdana" w:eastAsiaTheme="minorHAnsi" w:hAnsi="Verdana"/>
          <w:sz w:val="20"/>
        </w:rPr>
        <w:t>: Risk Analysis</w:t>
      </w:r>
      <w:bookmarkEnd w:id="0"/>
      <w:r w:rsidRPr="00295196">
        <w:rPr>
          <w:rFonts w:ascii="Verdana" w:eastAsiaTheme="minorHAnsi" w:hAnsi="Verdana"/>
          <w:sz w:val="20"/>
        </w:rPr>
        <w:t xml:space="preserve">  </w:t>
      </w:r>
    </w:p>
    <w:p w14:paraId="04D2DE18" w14:textId="77777777" w:rsidR="006B065B" w:rsidRPr="00C24597" w:rsidRDefault="006B065B" w:rsidP="006B065B">
      <w:pPr>
        <w:autoSpaceDE w:val="0"/>
        <w:autoSpaceDN w:val="0"/>
        <w:adjustRightInd w:val="0"/>
        <w:rPr>
          <w:rFonts w:ascii="Verdana" w:eastAsiaTheme="minorHAnsi" w:hAnsi="Verdana"/>
          <w:color w:val="000000"/>
          <w:sz w:val="20"/>
          <w:szCs w:val="20"/>
        </w:rPr>
      </w:pPr>
    </w:p>
    <w:p w14:paraId="2CDA3F5F" w14:textId="77777777" w:rsidR="00637ED8"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w:t>
      </w:r>
      <w:r w:rsidR="00637ED8">
        <w:rPr>
          <w:rFonts w:ascii="Verdana" w:eastAsiaTheme="minorHAnsi" w:hAnsi="Verdana"/>
          <w:color w:val="000000"/>
          <w:sz w:val="20"/>
          <w:szCs w:val="20"/>
        </w:rPr>
        <w:t>The r</w:t>
      </w:r>
      <w:r w:rsidR="00637ED8" w:rsidRPr="006A0325">
        <w:rPr>
          <w:rFonts w:ascii="Verdana" w:eastAsiaTheme="minorHAnsi" w:hAnsi="Verdana"/>
          <w:color w:val="000000"/>
          <w:sz w:val="20"/>
          <w:szCs w:val="20"/>
        </w:rPr>
        <w:t>isk analysis should include gender-related risks, including, but not limited to, gender-based violence.</w:t>
      </w:r>
      <w:r w:rsidR="00637ED8">
        <w:rPr>
          <w:rFonts w:ascii="Verdana" w:eastAsiaTheme="minorHAnsi" w:hAnsi="Verdana"/>
          <w:color w:val="000000"/>
          <w:sz w:val="20"/>
          <w:szCs w:val="20"/>
        </w:rPr>
        <w:t xml:space="preserve">  </w:t>
      </w:r>
    </w:p>
    <w:p w14:paraId="5F2F161E" w14:textId="77777777" w:rsidR="00637ED8" w:rsidRDefault="00637ED8" w:rsidP="006B065B">
      <w:pPr>
        <w:autoSpaceDE w:val="0"/>
        <w:autoSpaceDN w:val="0"/>
        <w:adjustRightInd w:val="0"/>
        <w:rPr>
          <w:rFonts w:ascii="Verdana" w:eastAsiaTheme="minorHAnsi" w:hAnsi="Verdana"/>
          <w:color w:val="000000"/>
          <w:sz w:val="20"/>
          <w:szCs w:val="20"/>
        </w:rPr>
      </w:pPr>
    </w:p>
    <w:p w14:paraId="289EE396" w14:textId="438F62BD" w:rsidR="006B065B"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risk analysis should not be considered a one-time exercise or a static document.  Organizations should conduct adequate risk analysis and remediation for all its operations and advises that risk analysis and remediation occur throughout the life of a project and should result in revisions to risk analysis documents and processes as necessary. </w:t>
      </w:r>
    </w:p>
    <w:p w14:paraId="50CDE8EF" w14:textId="77777777" w:rsidR="00637ED8" w:rsidRPr="00C24597" w:rsidRDefault="00637ED8" w:rsidP="006B065B">
      <w:pPr>
        <w:autoSpaceDE w:val="0"/>
        <w:autoSpaceDN w:val="0"/>
        <w:adjustRightInd w:val="0"/>
        <w:rPr>
          <w:rFonts w:ascii="Verdana" w:eastAsiaTheme="minorHAnsi" w:hAnsi="Verdana"/>
          <w:color w:val="000000"/>
          <w:sz w:val="20"/>
          <w:szCs w:val="20"/>
        </w:rPr>
      </w:pPr>
    </w:p>
    <w:p w14:paraId="728DB30D" w14:textId="77777777" w:rsidR="006B065B" w:rsidRPr="00C24597"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suggested format for a risk analysis document is below. Applicants should include all assumptions and external factors identified in the logic model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as “High,” “Medium,” or “Low.” Additional lines can be included in the risk analysis table as necessary. </w:t>
      </w:r>
    </w:p>
    <w:p w14:paraId="411AF774" w14:textId="77777777" w:rsidR="006B065B" w:rsidRDefault="006B065B" w:rsidP="006B065B">
      <w:pPr>
        <w:pStyle w:val="Default"/>
        <w:spacing w:line="276" w:lineRule="auto"/>
        <w:jc w:val="both"/>
        <w:rPr>
          <w:rFonts w:ascii="Verdana" w:hAnsi="Verdana"/>
          <w:sz w:val="20"/>
          <w:szCs w:val="20"/>
        </w:rPr>
      </w:pPr>
    </w:p>
    <w:p w14:paraId="4293EF30" w14:textId="77777777" w:rsidR="006B065B" w:rsidRPr="00C24597" w:rsidRDefault="006B065B" w:rsidP="006B065B">
      <w:pPr>
        <w:pStyle w:val="Default"/>
        <w:spacing w:after="200" w:line="276" w:lineRule="auto"/>
        <w:jc w:val="both"/>
        <w:rPr>
          <w:rFonts w:ascii="Verdana" w:hAnsi="Verdana"/>
          <w:sz w:val="20"/>
          <w:szCs w:val="20"/>
        </w:rPr>
      </w:pPr>
      <w:r w:rsidRPr="00C24597">
        <w:rPr>
          <w:rFonts w:ascii="Verdana" w:hAnsi="Verdana"/>
          <w:sz w:val="20"/>
          <w:szCs w:val="20"/>
        </w:rPr>
        <w:t>The safety and security of recipients and beneficiaries are of utmost importance. The Embassy requires all recipients to conduct thorough risk assessments and take all actions necessary in accordance with those assessments to mitigate those risks. The Embassy will not take responsibility for the risks incurred by any recipient.</w:t>
      </w:r>
    </w:p>
    <w:tbl>
      <w:tblPr>
        <w:tblStyle w:val="TableGrid"/>
        <w:tblW w:w="0" w:type="auto"/>
        <w:tblLook w:val="04A0" w:firstRow="1" w:lastRow="0" w:firstColumn="1" w:lastColumn="0" w:noHBand="0" w:noVBand="1"/>
      </w:tblPr>
      <w:tblGrid>
        <w:gridCol w:w="2114"/>
        <w:gridCol w:w="1823"/>
        <w:gridCol w:w="1754"/>
        <w:gridCol w:w="1676"/>
        <w:gridCol w:w="1983"/>
      </w:tblGrid>
      <w:tr w:rsidR="006B065B" w14:paraId="38EB06B2" w14:textId="77777777" w:rsidTr="00E15D7B">
        <w:tc>
          <w:tcPr>
            <w:tcW w:w="2203" w:type="dxa"/>
          </w:tcPr>
          <w:p w14:paraId="404BDA4E" w14:textId="77777777" w:rsidR="006B065B" w:rsidRDefault="006B065B" w:rsidP="00E15D7B">
            <w:pPr>
              <w:pStyle w:val="Default"/>
              <w:jc w:val="both"/>
              <w:rPr>
                <w:rFonts w:ascii="Verdana" w:hAnsi="Verdana"/>
                <w:sz w:val="20"/>
                <w:szCs w:val="20"/>
              </w:rPr>
            </w:pPr>
          </w:p>
        </w:tc>
        <w:tc>
          <w:tcPr>
            <w:tcW w:w="2203" w:type="dxa"/>
          </w:tcPr>
          <w:p w14:paraId="3902C252"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Description of Risk</w:t>
            </w:r>
          </w:p>
        </w:tc>
        <w:tc>
          <w:tcPr>
            <w:tcW w:w="2203" w:type="dxa"/>
          </w:tcPr>
          <w:p w14:paraId="39E5916A"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Likelihood of Risk</w:t>
            </w:r>
          </w:p>
        </w:tc>
        <w:tc>
          <w:tcPr>
            <w:tcW w:w="2203" w:type="dxa"/>
          </w:tcPr>
          <w:p w14:paraId="3708703E"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Potential Impact of Risk</w:t>
            </w:r>
          </w:p>
        </w:tc>
        <w:tc>
          <w:tcPr>
            <w:tcW w:w="2204" w:type="dxa"/>
          </w:tcPr>
          <w:p w14:paraId="59C6C11B"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Risk Mitigation Plans/Actions</w:t>
            </w:r>
          </w:p>
        </w:tc>
      </w:tr>
      <w:tr w:rsidR="006B065B" w14:paraId="4EFE2B18" w14:textId="77777777" w:rsidTr="00E15D7B">
        <w:tc>
          <w:tcPr>
            <w:tcW w:w="2203" w:type="dxa"/>
          </w:tcPr>
          <w:p w14:paraId="2B6CA4F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objectives</w:t>
            </w:r>
          </w:p>
        </w:tc>
        <w:tc>
          <w:tcPr>
            <w:tcW w:w="2203" w:type="dxa"/>
          </w:tcPr>
          <w:p w14:paraId="0202854F" w14:textId="77777777" w:rsidR="006B065B" w:rsidRDefault="006B065B" w:rsidP="00E15D7B">
            <w:pPr>
              <w:pStyle w:val="Default"/>
              <w:jc w:val="both"/>
              <w:rPr>
                <w:rFonts w:ascii="Verdana" w:hAnsi="Verdana"/>
                <w:sz w:val="20"/>
                <w:szCs w:val="20"/>
              </w:rPr>
            </w:pPr>
          </w:p>
        </w:tc>
        <w:tc>
          <w:tcPr>
            <w:tcW w:w="2203" w:type="dxa"/>
          </w:tcPr>
          <w:p w14:paraId="35C0E3CB" w14:textId="77777777" w:rsidR="006B065B" w:rsidRDefault="006B065B" w:rsidP="00E15D7B">
            <w:pPr>
              <w:pStyle w:val="Default"/>
              <w:jc w:val="both"/>
              <w:rPr>
                <w:rFonts w:ascii="Verdana" w:hAnsi="Verdana"/>
                <w:sz w:val="20"/>
                <w:szCs w:val="20"/>
              </w:rPr>
            </w:pPr>
          </w:p>
        </w:tc>
        <w:tc>
          <w:tcPr>
            <w:tcW w:w="2203" w:type="dxa"/>
          </w:tcPr>
          <w:p w14:paraId="43EFB026" w14:textId="77777777" w:rsidR="006B065B" w:rsidRDefault="006B065B" w:rsidP="00E15D7B">
            <w:pPr>
              <w:pStyle w:val="Default"/>
              <w:jc w:val="both"/>
              <w:rPr>
                <w:rFonts w:ascii="Verdana" w:hAnsi="Verdana"/>
                <w:sz w:val="20"/>
                <w:szCs w:val="20"/>
              </w:rPr>
            </w:pPr>
          </w:p>
        </w:tc>
        <w:tc>
          <w:tcPr>
            <w:tcW w:w="2204" w:type="dxa"/>
          </w:tcPr>
          <w:p w14:paraId="5D4584A2" w14:textId="77777777" w:rsidR="006B065B" w:rsidRDefault="006B065B" w:rsidP="00E15D7B">
            <w:pPr>
              <w:pStyle w:val="Default"/>
              <w:jc w:val="both"/>
              <w:rPr>
                <w:rFonts w:ascii="Verdana" w:hAnsi="Verdana"/>
                <w:sz w:val="20"/>
                <w:szCs w:val="20"/>
              </w:rPr>
            </w:pPr>
          </w:p>
        </w:tc>
      </w:tr>
      <w:tr w:rsidR="006B065B" w14:paraId="60A44BB6" w14:textId="77777777" w:rsidTr="00E15D7B">
        <w:tc>
          <w:tcPr>
            <w:tcW w:w="2203" w:type="dxa"/>
          </w:tcPr>
          <w:p w14:paraId="07C8154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outcomes/outputs</w:t>
            </w:r>
          </w:p>
        </w:tc>
        <w:tc>
          <w:tcPr>
            <w:tcW w:w="2203" w:type="dxa"/>
          </w:tcPr>
          <w:p w14:paraId="21E62628" w14:textId="77777777" w:rsidR="006B065B" w:rsidRDefault="006B065B" w:rsidP="00E15D7B">
            <w:pPr>
              <w:pStyle w:val="Default"/>
              <w:jc w:val="both"/>
              <w:rPr>
                <w:rFonts w:ascii="Verdana" w:hAnsi="Verdana"/>
                <w:sz w:val="20"/>
                <w:szCs w:val="20"/>
              </w:rPr>
            </w:pPr>
          </w:p>
        </w:tc>
        <w:tc>
          <w:tcPr>
            <w:tcW w:w="2203" w:type="dxa"/>
          </w:tcPr>
          <w:p w14:paraId="155297B0" w14:textId="77777777" w:rsidR="006B065B" w:rsidRDefault="006B065B" w:rsidP="00E15D7B">
            <w:pPr>
              <w:pStyle w:val="Default"/>
              <w:jc w:val="both"/>
              <w:rPr>
                <w:rFonts w:ascii="Verdana" w:hAnsi="Verdana"/>
                <w:sz w:val="20"/>
                <w:szCs w:val="20"/>
              </w:rPr>
            </w:pPr>
          </w:p>
        </w:tc>
        <w:tc>
          <w:tcPr>
            <w:tcW w:w="2203" w:type="dxa"/>
          </w:tcPr>
          <w:p w14:paraId="1C91F589" w14:textId="77777777" w:rsidR="006B065B" w:rsidRDefault="006B065B" w:rsidP="00E15D7B">
            <w:pPr>
              <w:pStyle w:val="Default"/>
              <w:jc w:val="both"/>
              <w:rPr>
                <w:rFonts w:ascii="Verdana" w:hAnsi="Verdana"/>
                <w:sz w:val="20"/>
                <w:szCs w:val="20"/>
              </w:rPr>
            </w:pPr>
          </w:p>
        </w:tc>
        <w:tc>
          <w:tcPr>
            <w:tcW w:w="2204" w:type="dxa"/>
          </w:tcPr>
          <w:p w14:paraId="26853DE5" w14:textId="77777777" w:rsidR="006B065B" w:rsidRDefault="006B065B" w:rsidP="00E15D7B">
            <w:pPr>
              <w:pStyle w:val="Default"/>
              <w:jc w:val="both"/>
              <w:rPr>
                <w:rFonts w:ascii="Verdana" w:hAnsi="Verdana"/>
                <w:sz w:val="20"/>
                <w:szCs w:val="20"/>
              </w:rPr>
            </w:pPr>
          </w:p>
        </w:tc>
      </w:tr>
      <w:tr w:rsidR="006B065B" w14:paraId="4A4E6BE2" w14:textId="77777777" w:rsidTr="00E15D7B">
        <w:tc>
          <w:tcPr>
            <w:tcW w:w="2203" w:type="dxa"/>
          </w:tcPr>
          <w:p w14:paraId="19F976F0" w14:textId="77777777" w:rsidR="006B065B" w:rsidRDefault="006B065B" w:rsidP="00E15D7B">
            <w:pPr>
              <w:pStyle w:val="Default"/>
              <w:jc w:val="both"/>
              <w:rPr>
                <w:rFonts w:ascii="Verdana" w:hAnsi="Verdana"/>
                <w:sz w:val="20"/>
                <w:szCs w:val="20"/>
              </w:rPr>
            </w:pPr>
            <w:r>
              <w:rPr>
                <w:rFonts w:ascii="Verdana" w:hAnsi="Verdana"/>
                <w:sz w:val="20"/>
                <w:szCs w:val="20"/>
              </w:rPr>
              <w:t>Risks affecting the organization</w:t>
            </w:r>
          </w:p>
        </w:tc>
        <w:tc>
          <w:tcPr>
            <w:tcW w:w="2203" w:type="dxa"/>
          </w:tcPr>
          <w:p w14:paraId="1254854B" w14:textId="77777777" w:rsidR="006B065B" w:rsidRDefault="006B065B" w:rsidP="00E15D7B">
            <w:pPr>
              <w:pStyle w:val="Default"/>
              <w:jc w:val="both"/>
              <w:rPr>
                <w:rFonts w:ascii="Verdana" w:hAnsi="Verdana"/>
                <w:sz w:val="20"/>
                <w:szCs w:val="20"/>
              </w:rPr>
            </w:pPr>
          </w:p>
        </w:tc>
        <w:tc>
          <w:tcPr>
            <w:tcW w:w="2203" w:type="dxa"/>
          </w:tcPr>
          <w:p w14:paraId="4F8A5940" w14:textId="77777777" w:rsidR="006B065B" w:rsidRDefault="006B065B" w:rsidP="00E15D7B">
            <w:pPr>
              <w:pStyle w:val="Default"/>
              <w:jc w:val="both"/>
              <w:rPr>
                <w:rFonts w:ascii="Verdana" w:hAnsi="Verdana"/>
                <w:sz w:val="20"/>
                <w:szCs w:val="20"/>
              </w:rPr>
            </w:pPr>
          </w:p>
        </w:tc>
        <w:tc>
          <w:tcPr>
            <w:tcW w:w="2203" w:type="dxa"/>
          </w:tcPr>
          <w:p w14:paraId="098EBF46" w14:textId="77777777" w:rsidR="006B065B" w:rsidRDefault="006B065B" w:rsidP="00E15D7B">
            <w:pPr>
              <w:pStyle w:val="Default"/>
              <w:jc w:val="both"/>
              <w:rPr>
                <w:rFonts w:ascii="Verdana" w:hAnsi="Verdana"/>
                <w:sz w:val="20"/>
                <w:szCs w:val="20"/>
              </w:rPr>
            </w:pPr>
          </w:p>
        </w:tc>
        <w:tc>
          <w:tcPr>
            <w:tcW w:w="2204" w:type="dxa"/>
          </w:tcPr>
          <w:p w14:paraId="444C9DCC" w14:textId="77777777" w:rsidR="006B065B" w:rsidRDefault="006B065B" w:rsidP="00E15D7B">
            <w:pPr>
              <w:pStyle w:val="Default"/>
              <w:jc w:val="both"/>
              <w:rPr>
                <w:rFonts w:ascii="Verdana" w:hAnsi="Verdana"/>
                <w:sz w:val="20"/>
                <w:szCs w:val="20"/>
              </w:rPr>
            </w:pPr>
          </w:p>
        </w:tc>
      </w:tr>
      <w:tr w:rsidR="006B065B" w14:paraId="54387B2D" w14:textId="77777777" w:rsidTr="00E15D7B">
        <w:tc>
          <w:tcPr>
            <w:tcW w:w="2203" w:type="dxa"/>
          </w:tcPr>
          <w:p w14:paraId="3D8D8F99" w14:textId="77777777" w:rsidR="006B065B" w:rsidRDefault="006B065B" w:rsidP="00E15D7B">
            <w:pPr>
              <w:pStyle w:val="Default"/>
              <w:jc w:val="both"/>
              <w:rPr>
                <w:rFonts w:ascii="Verdana" w:hAnsi="Verdana"/>
                <w:sz w:val="20"/>
                <w:szCs w:val="20"/>
              </w:rPr>
            </w:pPr>
            <w:r>
              <w:rPr>
                <w:rFonts w:ascii="Verdana" w:hAnsi="Verdana"/>
                <w:sz w:val="20"/>
                <w:szCs w:val="20"/>
              </w:rPr>
              <w:t>Risks affecting security and safety of personnel</w:t>
            </w:r>
          </w:p>
        </w:tc>
        <w:tc>
          <w:tcPr>
            <w:tcW w:w="2203" w:type="dxa"/>
          </w:tcPr>
          <w:p w14:paraId="7ACAB9E5" w14:textId="77777777" w:rsidR="006B065B" w:rsidRDefault="006B065B" w:rsidP="00E15D7B">
            <w:pPr>
              <w:pStyle w:val="Default"/>
              <w:jc w:val="both"/>
              <w:rPr>
                <w:rFonts w:ascii="Verdana" w:hAnsi="Verdana"/>
                <w:sz w:val="20"/>
                <w:szCs w:val="20"/>
              </w:rPr>
            </w:pPr>
          </w:p>
        </w:tc>
        <w:tc>
          <w:tcPr>
            <w:tcW w:w="2203" w:type="dxa"/>
          </w:tcPr>
          <w:p w14:paraId="4E4A73D0" w14:textId="77777777" w:rsidR="006B065B" w:rsidRDefault="006B065B" w:rsidP="00E15D7B">
            <w:pPr>
              <w:pStyle w:val="Default"/>
              <w:jc w:val="both"/>
              <w:rPr>
                <w:rFonts w:ascii="Verdana" w:hAnsi="Verdana"/>
                <w:sz w:val="20"/>
                <w:szCs w:val="20"/>
              </w:rPr>
            </w:pPr>
          </w:p>
        </w:tc>
        <w:tc>
          <w:tcPr>
            <w:tcW w:w="2203" w:type="dxa"/>
          </w:tcPr>
          <w:p w14:paraId="1949C284" w14:textId="77777777" w:rsidR="006B065B" w:rsidRDefault="006B065B" w:rsidP="00E15D7B">
            <w:pPr>
              <w:pStyle w:val="Default"/>
              <w:jc w:val="both"/>
              <w:rPr>
                <w:rFonts w:ascii="Verdana" w:hAnsi="Verdana"/>
                <w:sz w:val="20"/>
                <w:szCs w:val="20"/>
              </w:rPr>
            </w:pPr>
          </w:p>
        </w:tc>
        <w:tc>
          <w:tcPr>
            <w:tcW w:w="2204" w:type="dxa"/>
          </w:tcPr>
          <w:p w14:paraId="3DB7EE29" w14:textId="77777777" w:rsidR="006B065B" w:rsidRDefault="006B065B" w:rsidP="00E15D7B">
            <w:pPr>
              <w:pStyle w:val="Default"/>
              <w:jc w:val="both"/>
              <w:rPr>
                <w:rFonts w:ascii="Verdana" w:hAnsi="Verdana"/>
                <w:sz w:val="20"/>
                <w:szCs w:val="20"/>
              </w:rPr>
            </w:pPr>
          </w:p>
        </w:tc>
      </w:tr>
    </w:tbl>
    <w:p w14:paraId="15DA56D9" w14:textId="77777777" w:rsidR="006B065B" w:rsidRDefault="006B065B" w:rsidP="006B065B">
      <w:pPr>
        <w:pStyle w:val="Default"/>
        <w:spacing w:after="200" w:line="276" w:lineRule="auto"/>
        <w:jc w:val="both"/>
        <w:rPr>
          <w:rFonts w:ascii="Verdana" w:hAnsi="Verdana"/>
          <w:sz w:val="20"/>
          <w:szCs w:val="20"/>
        </w:rPr>
      </w:pPr>
    </w:p>
    <w:p w14:paraId="74429314" w14:textId="77777777" w:rsidR="006B065B" w:rsidRDefault="006B065B" w:rsidP="006B065B">
      <w:pPr>
        <w:pStyle w:val="Default"/>
        <w:spacing w:after="200" w:line="276" w:lineRule="auto"/>
        <w:jc w:val="both"/>
        <w:rPr>
          <w:rFonts w:ascii="Verdana" w:hAnsi="Verdana"/>
          <w:sz w:val="20"/>
          <w:szCs w:val="20"/>
        </w:rPr>
      </w:pPr>
    </w:p>
    <w:p w14:paraId="0CC0B33F" w14:textId="202AFD33" w:rsidR="00F06391" w:rsidRDefault="00F06391" w:rsidP="006B065B"/>
    <w:sectPr w:rsidR="00F06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5B"/>
    <w:rsid w:val="002C40B1"/>
    <w:rsid w:val="00637ED8"/>
    <w:rsid w:val="006A0325"/>
    <w:rsid w:val="006B065B"/>
    <w:rsid w:val="00A265A0"/>
    <w:rsid w:val="00B010CF"/>
    <w:rsid w:val="00F06391"/>
    <w:rsid w:val="00F1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2254"/>
  <w15:chartTrackingRefBased/>
  <w15:docId w15:val="{7AFA1D68-C52C-4F0C-8C24-19BF2E67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65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B065B"/>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B065B"/>
    <w:rPr>
      <w:rFonts w:ascii="Times New Roman" w:eastAsia="Times New Roman" w:hAnsi="Times New Roman" w:cs="Times New Roman"/>
      <w:b/>
      <w:color w:val="000000"/>
      <w:sz w:val="24"/>
      <w:szCs w:val="20"/>
    </w:rPr>
  </w:style>
  <w:style w:type="paragraph" w:customStyle="1" w:styleId="Default">
    <w:name w:val="Default"/>
    <w:rsid w:val="006B065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B0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7ED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37ED8"/>
    <w:rPr>
      <w:sz w:val="16"/>
      <w:szCs w:val="16"/>
    </w:rPr>
  </w:style>
  <w:style w:type="paragraph" w:styleId="CommentText">
    <w:name w:val="annotation text"/>
    <w:basedOn w:val="Normal"/>
    <w:link w:val="CommentTextChar"/>
    <w:uiPriority w:val="99"/>
    <w:unhideWhenUsed/>
    <w:rsid w:val="00637ED8"/>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637ED8"/>
    <w:rPr>
      <w:sz w:val="20"/>
      <w:szCs w:val="20"/>
    </w:rPr>
  </w:style>
  <w:style w:type="paragraph" w:styleId="CommentSubject">
    <w:name w:val="annotation subject"/>
    <w:basedOn w:val="CommentText"/>
    <w:next w:val="CommentText"/>
    <w:link w:val="CommentSubjectChar"/>
    <w:uiPriority w:val="99"/>
    <w:semiHidden/>
    <w:unhideWhenUsed/>
    <w:rsid w:val="00F1744B"/>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F1744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3097de-ca95-46c6-aefa-b97175c779ad">
      <Terms xmlns="http://schemas.microsoft.com/office/infopath/2007/PartnerControls"/>
    </lcf76f155ced4ddcb4097134ff3c332f>
    <TaxCatchAll xmlns="d66293ee-b140-4d44-8f22-272e511bed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4b3db5852d78c89be935c57a2dd3c7a8">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36305e6f1135c77240f23ad30def6c34"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5E712-6090-4A65-BEEF-7D98FFA9494E}">
  <ds:schemaRefs>
    <ds:schemaRef ds:uri="http://schemas.microsoft.com/office/2006/metadata/properties"/>
    <ds:schemaRef ds:uri="http://schemas.microsoft.com/office/infopath/2007/PartnerControls"/>
    <ds:schemaRef ds:uri="e63097de-ca95-46c6-aefa-b97175c779ad"/>
    <ds:schemaRef ds:uri="d66293ee-b140-4d44-8f22-272e511bed52"/>
  </ds:schemaRefs>
</ds:datastoreItem>
</file>

<file path=customXml/itemProps2.xml><?xml version="1.0" encoding="utf-8"?>
<ds:datastoreItem xmlns:ds="http://schemas.openxmlformats.org/officeDocument/2006/customXml" ds:itemID="{3E2F1714-AD58-4673-B6C1-554309C5D29D}">
  <ds:schemaRefs>
    <ds:schemaRef ds:uri="http://schemas.microsoft.com/sharepoint/v3/contenttype/forms"/>
  </ds:schemaRefs>
</ds:datastoreItem>
</file>

<file path=customXml/itemProps3.xml><?xml version="1.0" encoding="utf-8"?>
<ds:datastoreItem xmlns:ds="http://schemas.openxmlformats.org/officeDocument/2006/customXml" ds:itemID="{B8A8E33E-0874-4FA9-8B92-8F9B464E46C4}">
  <ds:schemaRefs>
    <ds:schemaRef ds:uri="http://schemas.microsoft.com/sharepoint/events"/>
    <ds:schemaRef ds:uri=""/>
  </ds:schemaRefs>
</ds:datastoreItem>
</file>

<file path=customXml/itemProps4.xml><?xml version="1.0" encoding="utf-8"?>
<ds:datastoreItem xmlns:ds="http://schemas.openxmlformats.org/officeDocument/2006/customXml" ds:itemID="{0A8A832B-DA6E-46B5-9DF7-C6EEFBC24D5F}"/>
</file>

<file path=docProps/app.xml><?xml version="1.0" encoding="utf-8"?>
<Properties xmlns="http://schemas.openxmlformats.org/officeDocument/2006/extended-properties" xmlns:vt="http://schemas.openxmlformats.org/officeDocument/2006/docPropsVTypes">
  <Template>Normal</Template>
  <TotalTime>5</TotalTime>
  <Pages>1</Pages>
  <Words>297</Words>
  <Characters>1697</Characters>
  <Application>Microsoft Office Word</Application>
  <DocSecurity>0</DocSecurity>
  <Lines>14</Lines>
  <Paragraphs>3</Paragraphs>
  <ScaleCrop>false</ScaleCrop>
  <Company>Department of State</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Ngum, Lucresse R</dc:creator>
  <cp:keywords/>
  <dc:description/>
  <cp:lastModifiedBy>Ngum, Lucresse R</cp:lastModifiedBy>
  <cp:revision>6</cp:revision>
  <dcterms:created xsi:type="dcterms:W3CDTF">2023-04-05T09:48:00Z</dcterms:created>
  <dcterms:modified xsi:type="dcterms:W3CDTF">2023-04-05T14:33:00Z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2022-05-25T13:33:50Z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cca5aca6-7b73-47b7-abfb-9b616cfa1001</vt:lpwstr>
  </property>
  <property fmtid="{D5CDD505-2E9C-101B-9397-08002B2CF9AE}" pid="8" name="MSIP_Label_1665d9ee-429a-4d5f-97cc-cfb56e044a6e_ContentBits">
    <vt:lpwstr>0</vt:lpwstr>
  </property>
  <property fmtid="{D5CDD505-2E9C-101B-9397-08002B2CF9AE}" pid="9" name="ContentTypeId">
    <vt:lpwstr>0x010100941DC33B2D01A34580EB8B2FC5EC7264</vt:lpwstr>
  </property>
  <property fmtid="{D5CDD505-2E9C-101B-9397-08002B2CF9AE}" pid="10" name="MediaServiceImageTags">
    <vt:lpwstr/>
  </property>
</Properties>
</file>