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53107" w14:textId="77777777" w:rsidR="003C4B57" w:rsidRDefault="003C4B57" w:rsidP="003C4B57">
      <w:pPr>
        <w:jc w:val="center"/>
        <w:rPr>
          <w:rFonts w:ascii="Times New Roman" w:hAnsi="Times New Roman"/>
          <w:noProof/>
          <w:color w:val="000000"/>
          <w:sz w:val="24"/>
        </w:rPr>
      </w:pPr>
      <w:r w:rsidRPr="003C4B57">
        <w:rPr>
          <w:rFonts w:ascii="Times New Roman" w:hAnsi="Times New Roman"/>
          <w:noProof/>
          <w:color w:val="000000"/>
          <w:sz w:val="24"/>
        </w:rPr>
        <w:t>THIS DOCUMENT IS FOR INFORMATIONAL PURPOSES ONLY.  NO APPLICATIONS ARE SOLICITED THROUGH THIS PUBLICATION</w:t>
      </w:r>
    </w:p>
    <w:p w14:paraId="4306A4D9" w14:textId="77777777" w:rsidR="003C4B57" w:rsidRDefault="003C4B57" w:rsidP="003C4B57">
      <w:pPr>
        <w:rPr>
          <w:rFonts w:ascii="Times New Roman" w:hAnsi="Times New Roman"/>
          <w:noProof/>
          <w:color w:val="000000"/>
          <w:sz w:val="24"/>
        </w:rPr>
      </w:pPr>
    </w:p>
    <w:p w14:paraId="70EEE15C" w14:textId="77777777" w:rsidR="003C4B57" w:rsidRPr="004A72FA" w:rsidRDefault="003C4B57" w:rsidP="003C4B57">
      <w:pPr>
        <w:rPr>
          <w:rFonts w:ascii="Times New Roman" w:hAnsi="Times New Roman"/>
          <w:noProof/>
          <w:color w:val="000000"/>
          <w:sz w:val="24"/>
        </w:rPr>
      </w:pPr>
    </w:p>
    <w:p w14:paraId="17488009" w14:textId="77777777" w:rsidR="003C4B57" w:rsidRPr="00D40E3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sidRPr="00D40E36">
        <w:rPr>
          <w:rFonts w:ascii="Times New Roman" w:hAnsi="Times New Roman"/>
          <w:noProof/>
          <w:color w:val="000000"/>
          <w:sz w:val="24"/>
        </w:rPr>
        <w:t>Centers for Disease Control and Prevention (CDC)</w:t>
      </w:r>
    </w:p>
    <w:p w14:paraId="53648540" w14:textId="77777777" w:rsidR="003C4B57" w:rsidRPr="00D40E3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Pr>
          <w:rFonts w:ascii="Times New Roman" w:hAnsi="Times New Roman"/>
          <w:noProof/>
          <w:color w:val="000000"/>
          <w:sz w:val="24"/>
        </w:rPr>
        <w:t>Office of Financial Resources</w:t>
      </w:r>
    </w:p>
    <w:p w14:paraId="5258D9FE"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sidRPr="00D40E36">
        <w:rPr>
          <w:rFonts w:ascii="Times New Roman" w:hAnsi="Times New Roman"/>
          <w:noProof/>
          <w:color w:val="000000"/>
          <w:sz w:val="24"/>
        </w:rPr>
        <w:t>Catalog of Federal Domestic Assistance (CFDA) Number:</w:t>
      </w:r>
      <w:r>
        <w:rPr>
          <w:rFonts w:ascii="Times New Roman" w:hAnsi="Times New Roman"/>
          <w:noProof/>
          <w:color w:val="000000"/>
          <w:sz w:val="24"/>
        </w:rPr>
        <w:t xml:space="preserve"> </w:t>
      </w:r>
      <w:r w:rsidRPr="00EA7A93">
        <w:rPr>
          <w:rFonts w:ascii="Times New Roman" w:hAnsi="Times New Roman"/>
          <w:sz w:val="24"/>
        </w:rPr>
        <w:t>93.991</w:t>
      </w:r>
    </w:p>
    <w:p w14:paraId="35AFB4C6"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p>
    <w:p w14:paraId="30B6DF0E"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b/>
          <w:noProof/>
          <w:color w:val="000000"/>
          <w:sz w:val="24"/>
        </w:rPr>
      </w:pPr>
      <w:r w:rsidRPr="00F240A9">
        <w:rPr>
          <w:rFonts w:ascii="Times New Roman" w:hAnsi="Times New Roman"/>
          <w:b/>
          <w:noProof/>
          <w:color w:val="000000"/>
          <w:sz w:val="24"/>
        </w:rPr>
        <w:t xml:space="preserve">Preventive Health </w:t>
      </w:r>
      <w:r>
        <w:rPr>
          <w:rFonts w:ascii="Times New Roman" w:hAnsi="Times New Roman"/>
          <w:b/>
          <w:noProof/>
          <w:color w:val="000000"/>
          <w:sz w:val="24"/>
        </w:rPr>
        <w:t>and Health Services Block Grant</w:t>
      </w:r>
      <w:r w:rsidRPr="00F240A9">
        <w:rPr>
          <w:rFonts w:ascii="Times New Roman" w:hAnsi="Times New Roman"/>
          <w:b/>
          <w:noProof/>
          <w:color w:val="000000"/>
          <w:sz w:val="24"/>
        </w:rPr>
        <w:t>–</w:t>
      </w:r>
      <w:r>
        <w:rPr>
          <w:rFonts w:ascii="Times New Roman" w:hAnsi="Times New Roman"/>
          <w:b/>
          <w:noProof/>
          <w:color w:val="000000"/>
          <w:sz w:val="24"/>
        </w:rPr>
        <w:t xml:space="preserve"> 2019 </w:t>
      </w:r>
    </w:p>
    <w:p w14:paraId="7297EEBB" w14:textId="77777777" w:rsidR="003C4B57" w:rsidRPr="00F240A9" w:rsidRDefault="005E0C19"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b/>
          <w:noProof/>
          <w:color w:val="000000"/>
          <w:sz w:val="24"/>
        </w:rPr>
      </w:pPr>
      <w:r>
        <w:rPr>
          <w:rFonts w:ascii="Times New Roman" w:hAnsi="Times New Roman"/>
          <w:b/>
          <w:noProof/>
          <w:color w:val="000000"/>
          <w:sz w:val="24"/>
        </w:rPr>
        <w:t>CDC-RFA-OT19-1902</w:t>
      </w:r>
    </w:p>
    <w:p w14:paraId="49AE632F"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sz w:val="24"/>
        </w:rPr>
      </w:pPr>
    </w:p>
    <w:p w14:paraId="421FE79A" w14:textId="77777777" w:rsidR="003C4B57" w:rsidRPr="00D40E3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Pr>
          <w:rFonts w:ascii="Times New Roman" w:hAnsi="Times New Roman"/>
          <w:b/>
          <w:noProof/>
          <w:color w:val="000000"/>
          <w:sz w:val="24"/>
        </w:rPr>
        <w:t>Overview</w:t>
      </w:r>
      <w:r w:rsidRPr="00D40E36">
        <w:rPr>
          <w:rFonts w:ascii="Times New Roman" w:hAnsi="Times New Roman"/>
          <w:b/>
          <w:noProof/>
          <w:color w:val="000000"/>
          <w:sz w:val="24"/>
        </w:rPr>
        <w:t>:</w:t>
      </w:r>
    </w:p>
    <w:p w14:paraId="5D04DD81" w14:textId="77777777" w:rsidR="003C4B57" w:rsidRPr="00D40E3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40FA36CD" w14:textId="245083B3" w:rsidR="003C4B57" w:rsidRDefault="003C4B57" w:rsidP="000065E5">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 xml:space="preserve">This notice announces the Centers for Disease Control and Prevention’s (CDC) intent to fund the Preventive Health and Health Services Block Grant applications  in Federal Fiscal Year 2019, </w:t>
      </w:r>
      <w:r w:rsidR="000065E5">
        <w:rPr>
          <w:rFonts w:ascii="Times New Roman" w:hAnsi="Times New Roman"/>
          <w:noProof/>
          <w:color w:val="000000"/>
          <w:sz w:val="24"/>
        </w:rPr>
        <w:t xml:space="preserve">as directed by </w:t>
      </w:r>
      <w:r w:rsidR="000065E5" w:rsidRPr="000065E5">
        <w:rPr>
          <w:rFonts w:ascii="Times New Roman" w:hAnsi="Times New Roman"/>
          <w:noProof/>
          <w:color w:val="000000"/>
          <w:sz w:val="24"/>
        </w:rPr>
        <w:t>Public Law 115-245, Department of Defense and Labor, Health and Human Services, and Education Appropriation Act, 2019 and Continuing Appropriations Act, 2019</w:t>
      </w:r>
      <w:r w:rsidR="000065E5">
        <w:rPr>
          <w:rFonts w:ascii="Times New Roman" w:hAnsi="Times New Roman"/>
          <w:noProof/>
          <w:color w:val="000000"/>
          <w:sz w:val="24"/>
        </w:rPr>
        <w:t>.</w:t>
      </w:r>
    </w:p>
    <w:p w14:paraId="3FD91FFA" w14:textId="07AC8B45" w:rsidR="00B81AE7" w:rsidRDefault="00B81AE7" w:rsidP="000065E5">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01679A8E" w14:textId="21EB0352" w:rsidR="00B81AE7" w:rsidRDefault="00B81AE7" w:rsidP="000065E5">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Closing date: July 1, 2019</w:t>
      </w:r>
      <w:bookmarkStart w:id="0" w:name="_GoBack"/>
      <w:bookmarkEnd w:id="0"/>
    </w:p>
    <w:p w14:paraId="5BCC376D" w14:textId="447732AE" w:rsidR="000065E5" w:rsidRDefault="000065E5" w:rsidP="000065E5">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2BE00E23" w14:textId="77777777" w:rsidR="000065E5" w:rsidRDefault="000065E5" w:rsidP="000065E5">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5A153C4D" w14:textId="103D0C23"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strike/>
          <w:noProof/>
          <w:color w:val="000000"/>
          <w:sz w:val="24"/>
        </w:rPr>
      </w:pPr>
      <w:r>
        <w:rPr>
          <w:rFonts w:ascii="Times New Roman" w:hAnsi="Times New Roman"/>
          <w:noProof/>
          <w:color w:val="000000"/>
          <w:sz w:val="24"/>
        </w:rPr>
        <w:t xml:space="preserve">The total approximate funding will be </w:t>
      </w:r>
      <w:r w:rsidR="00921EFE">
        <w:rPr>
          <w:rFonts w:ascii="Times New Roman" w:hAnsi="Times New Roman"/>
          <w:noProof/>
          <w:color w:val="000000"/>
          <w:sz w:val="24"/>
        </w:rPr>
        <w:t>$147,3</w:t>
      </w:r>
      <w:r w:rsidRPr="00492291">
        <w:rPr>
          <w:rFonts w:ascii="Times New Roman" w:hAnsi="Times New Roman"/>
          <w:noProof/>
          <w:color w:val="000000"/>
          <w:sz w:val="24"/>
        </w:rPr>
        <w:t>32,088</w:t>
      </w:r>
    </w:p>
    <w:p w14:paraId="7BB72A0A"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3CD4BA31"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All previsions and requirements of Preventive Health Services Block Legislation, Public Law 97-35, 42 United States Code, Sec 300w-320w-10), 45 Code of Federal Regulations (CFR) Part 75 and Part 96 remains in effect.</w:t>
      </w:r>
    </w:p>
    <w:p w14:paraId="47F7CDAE"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089A6AED"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Applications received through the Block Grant Management Information System (BGMIS) will be used as the basis for the award.</w:t>
      </w:r>
    </w:p>
    <w:p w14:paraId="2704A9FD"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78FA28F9"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Key Goals:</w:t>
      </w:r>
    </w:p>
    <w:p w14:paraId="3002BF09"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7467895E"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Address emerging health issues and gaps</w:t>
      </w:r>
    </w:p>
    <w:p w14:paraId="430DD7D4"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Decrease premature death and disabilities by focusing on the leading preventable risk factors</w:t>
      </w:r>
    </w:p>
    <w:p w14:paraId="051DC373"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Work to achieve health equity and eliminate health disparities by addressing the social determinants of health</w:t>
      </w:r>
    </w:p>
    <w:p w14:paraId="61DFC7AD"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Support local programs to achieve healthy communties</w:t>
      </w:r>
    </w:p>
    <w:p w14:paraId="60FC1AD4"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Establish data and surveillance systems to monitor the health status of targeted populations</w:t>
      </w:r>
    </w:p>
    <w:p w14:paraId="429E0ED5"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44ABD6B9"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CDC Project Description:</w:t>
      </w:r>
    </w:p>
    <w:p w14:paraId="0F594CC7" w14:textId="77777777" w:rsidR="003C4B57" w:rsidRPr="00AC3826" w:rsidRDefault="003C4B57" w:rsidP="003C4B57">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p>
    <w:p w14:paraId="6FE33266"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Provide for expanded and sustained national investment in prevention and public health programs.</w:t>
      </w:r>
    </w:p>
    <w:p w14:paraId="7A117786"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Establish data and surveillance systems to monitor the health status of targeted populations</w:t>
      </w:r>
    </w:p>
    <w:p w14:paraId="0B235548" w14:textId="77777777" w:rsidR="003C4B57" w:rsidRPr="00AC3826" w:rsidRDefault="003C4B57" w:rsidP="003C4B57">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Improve health and help restrain the rate of growth in private and public sector health costs.</w:t>
      </w:r>
    </w:p>
    <w:p w14:paraId="658B5989"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2DF6C752"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CDC Project Purposes:</w:t>
      </w:r>
    </w:p>
    <w:p w14:paraId="6F495380"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6B1556F9" w14:textId="16FED8B0"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As part of the overall effort to reduce the burden of chronic dis</w:t>
      </w:r>
      <w:r w:rsidR="00AC0B82">
        <w:rPr>
          <w:rFonts w:ascii="Times New Roman" w:hAnsi="Times New Roman"/>
          <w:noProof/>
          <w:color w:val="000000"/>
          <w:sz w:val="24"/>
        </w:rPr>
        <w:t xml:space="preserve">ease and associated risk factors,  </w:t>
      </w:r>
      <w:r w:rsidR="00AC0B82">
        <w:rPr>
          <w:rFonts w:ascii="Times New Roman" w:hAnsi="Times New Roman"/>
          <w:noProof/>
          <w:color w:val="000000"/>
          <w:sz w:val="24"/>
        </w:rPr>
        <w:lastRenderedPageBreak/>
        <w:t>t</w:t>
      </w:r>
      <w:r w:rsidRPr="00AC3826">
        <w:rPr>
          <w:rFonts w:ascii="Times New Roman" w:hAnsi="Times New Roman"/>
          <w:noProof/>
          <w:color w:val="000000"/>
          <w:sz w:val="24"/>
        </w:rPr>
        <w:t xml:space="preserve">he Preventive Health and Health Services Block Grant </w:t>
      </w:r>
      <w:r w:rsidR="00B94CC3">
        <w:rPr>
          <w:rFonts w:ascii="Times New Roman" w:hAnsi="Times New Roman"/>
          <w:noProof/>
          <w:color w:val="000000"/>
          <w:sz w:val="24"/>
        </w:rPr>
        <w:t xml:space="preserve">provides resources </w:t>
      </w:r>
      <w:r w:rsidRPr="00AC3826">
        <w:rPr>
          <w:rFonts w:ascii="Times New Roman" w:hAnsi="Times New Roman"/>
          <w:noProof/>
          <w:color w:val="000000"/>
          <w:sz w:val="24"/>
        </w:rPr>
        <w:t>to prioritize the use of funds, to fill funding gaps in programs that deal with leading causes of death and disabilities and the ability to respond rapidly to emerging health issues, including outbreaks of foodborne infec</w:t>
      </w:r>
      <w:r w:rsidR="005E0C19">
        <w:rPr>
          <w:rFonts w:ascii="Times New Roman" w:hAnsi="Times New Roman"/>
          <w:noProof/>
          <w:color w:val="000000"/>
          <w:sz w:val="24"/>
        </w:rPr>
        <w:t xml:space="preserve">tions and waterborne diseases. </w:t>
      </w:r>
      <w:r w:rsidRPr="00AC3826">
        <w:rPr>
          <w:rFonts w:ascii="Times New Roman" w:hAnsi="Times New Roman"/>
          <w:noProof/>
          <w:color w:val="000000"/>
          <w:sz w:val="24"/>
        </w:rPr>
        <w:t xml:space="preserve">This program provides all 50 states, the District of Columbia, 2 American Indian Tribes and 8 U.S. Territories with funding to address their own unique public health needs and challenges </w:t>
      </w:r>
      <w:r w:rsidR="00645C37">
        <w:rPr>
          <w:rFonts w:ascii="Times New Roman" w:hAnsi="Times New Roman"/>
          <w:noProof/>
          <w:color w:val="000000"/>
          <w:sz w:val="24"/>
        </w:rPr>
        <w:t>with</w:t>
      </w:r>
      <w:r w:rsidRPr="00AC3826">
        <w:rPr>
          <w:rFonts w:ascii="Times New Roman" w:hAnsi="Times New Roman"/>
          <w:noProof/>
          <w:color w:val="000000"/>
          <w:sz w:val="24"/>
        </w:rPr>
        <w:t>in inn</w:t>
      </w:r>
      <w:r w:rsidR="00B94CC3">
        <w:rPr>
          <w:rFonts w:ascii="Times New Roman" w:hAnsi="Times New Roman"/>
          <w:noProof/>
          <w:color w:val="000000"/>
          <w:sz w:val="24"/>
        </w:rPr>
        <w:t>ovative and locally defined methods</w:t>
      </w:r>
      <w:r w:rsidR="00094F62">
        <w:rPr>
          <w:rFonts w:ascii="Times New Roman" w:hAnsi="Times New Roman"/>
          <w:noProof/>
          <w:color w:val="000000"/>
          <w:sz w:val="24"/>
        </w:rPr>
        <w:t>.</w:t>
      </w:r>
    </w:p>
    <w:p w14:paraId="2CB689DE"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71D3C36A"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Award Information:</w:t>
      </w:r>
    </w:p>
    <w:p w14:paraId="63FCBB6E" w14:textId="77777777" w:rsidR="003C4B57" w:rsidRPr="00AC3826"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71AF69F6" w14:textId="5A7DDE47"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 xml:space="preserve">Approximate Current Fiscal Year Funding:  </w:t>
      </w:r>
      <w:r w:rsidR="00921EFE">
        <w:rPr>
          <w:rFonts w:ascii="Times New Roman" w:hAnsi="Times New Roman"/>
          <w:noProof/>
          <w:color w:val="000000"/>
          <w:sz w:val="24"/>
        </w:rPr>
        <w:t>$147,3</w:t>
      </w:r>
      <w:r w:rsidR="00492291" w:rsidRPr="00492291">
        <w:rPr>
          <w:rFonts w:ascii="Times New Roman" w:hAnsi="Times New Roman"/>
          <w:noProof/>
          <w:color w:val="000000"/>
          <w:sz w:val="24"/>
        </w:rPr>
        <w:t>32,088</w:t>
      </w:r>
    </w:p>
    <w:p w14:paraId="7180FDFF" w14:textId="77777777"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7C9D14BF" w14:textId="0F96D3B3"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 xml:space="preserve">Fiscal Year Funds:  </w:t>
      </w:r>
      <w:r w:rsidR="008C5341">
        <w:rPr>
          <w:rFonts w:ascii="Times New Roman" w:hAnsi="Times New Roman"/>
          <w:noProof/>
          <w:color w:val="000000"/>
          <w:sz w:val="24"/>
        </w:rPr>
        <w:t>2019</w:t>
      </w:r>
    </w:p>
    <w:p w14:paraId="3131DFFE" w14:textId="77777777"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616AEFCF" w14:textId="7A76189E"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Anticip</w:t>
      </w:r>
      <w:r w:rsidR="00DD0F70">
        <w:rPr>
          <w:rFonts w:ascii="Times New Roman" w:hAnsi="Times New Roman"/>
          <w:noProof/>
          <w:color w:val="000000"/>
          <w:sz w:val="24"/>
        </w:rPr>
        <w:t>ated Award Date</w:t>
      </w:r>
      <w:r w:rsidR="008C5341">
        <w:rPr>
          <w:rFonts w:ascii="Times New Roman" w:hAnsi="Times New Roman"/>
          <w:noProof/>
          <w:color w:val="000000"/>
          <w:sz w:val="24"/>
        </w:rPr>
        <w:t xml:space="preserve"> (Issue Date)</w:t>
      </w:r>
      <w:r w:rsidR="00DD0F70">
        <w:rPr>
          <w:rFonts w:ascii="Times New Roman" w:hAnsi="Times New Roman"/>
          <w:noProof/>
          <w:color w:val="000000"/>
          <w:sz w:val="24"/>
        </w:rPr>
        <w:t xml:space="preserve">:  September </w:t>
      </w:r>
      <w:r w:rsidR="008C5341">
        <w:rPr>
          <w:rFonts w:ascii="Times New Roman" w:hAnsi="Times New Roman"/>
          <w:noProof/>
          <w:color w:val="000000"/>
          <w:sz w:val="24"/>
        </w:rPr>
        <w:t xml:space="preserve">1, </w:t>
      </w:r>
      <w:r w:rsidR="00492291">
        <w:rPr>
          <w:rFonts w:ascii="Times New Roman" w:hAnsi="Times New Roman"/>
          <w:noProof/>
          <w:color w:val="000000"/>
          <w:sz w:val="24"/>
        </w:rPr>
        <w:t>2019</w:t>
      </w:r>
    </w:p>
    <w:p w14:paraId="5E7EBE8D" w14:textId="77777777"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3F6105B5" w14:textId="04A1D859"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 xml:space="preserve">Budget Period:  </w:t>
      </w:r>
      <w:r w:rsidR="008C5341">
        <w:rPr>
          <w:rFonts w:ascii="Times New Roman" w:hAnsi="Times New Roman"/>
          <w:noProof/>
          <w:color w:val="000000"/>
          <w:sz w:val="24"/>
        </w:rPr>
        <w:t xml:space="preserve">October 1, 2018 - September 30, 2020 </w:t>
      </w:r>
    </w:p>
    <w:p w14:paraId="0824CC78" w14:textId="77777777"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14:paraId="06C4D7A9" w14:textId="6140D125" w:rsidR="003C4B57" w:rsidRPr="00E140DD" w:rsidRDefault="008C5341"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Period of Performance:  October 1, 2018 - September 30, 2020</w:t>
      </w:r>
    </w:p>
    <w:p w14:paraId="48922D7C" w14:textId="77777777" w:rsidR="003C4B57" w:rsidRPr="00E140DD"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2AE7C5A4" w14:textId="77777777" w:rsidR="003C4B57" w:rsidRPr="00B43A55"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1895E505"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B43A55">
        <w:rPr>
          <w:rFonts w:ascii="Times New Roman" w:hAnsi="Times New Roman"/>
          <w:b/>
          <w:noProof/>
          <w:color w:val="000000"/>
          <w:sz w:val="24"/>
        </w:rPr>
        <w:t>Contact Information:</w:t>
      </w:r>
    </w:p>
    <w:p w14:paraId="497FAC62" w14:textId="77777777" w:rsidR="003C4B57" w:rsidRPr="00BB7D3B"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14:paraId="420514F3" w14:textId="77777777" w:rsidR="003C4B57" w:rsidRDefault="00645C3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Barbara (</w:t>
      </w:r>
      <w:r w:rsidRPr="00AB476B">
        <w:rPr>
          <w:rFonts w:ascii="Times New Roman" w:hAnsi="Times New Roman"/>
          <w:noProof/>
          <w:color w:val="000000"/>
          <w:sz w:val="24"/>
        </w:rPr>
        <w:t>René</w:t>
      </w:r>
      <w:r w:rsidR="003C4B57">
        <w:rPr>
          <w:rFonts w:ascii="Times New Roman" w:hAnsi="Times New Roman"/>
          <w:noProof/>
          <w:color w:val="000000"/>
          <w:sz w:val="24"/>
        </w:rPr>
        <w:t>) Benyard, Grants Management Officer</w:t>
      </w:r>
    </w:p>
    <w:p w14:paraId="580196F3"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Centers for Disease Control and Prevention</w:t>
      </w:r>
    </w:p>
    <w:p w14:paraId="5008DEF7"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Office of Financial Resources</w:t>
      </w:r>
    </w:p>
    <w:p w14:paraId="7F5E78C7"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2960 Brandywine Road, MS E01</w:t>
      </w:r>
    </w:p>
    <w:p w14:paraId="664C5C55"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Atlanta, GA 30341</w:t>
      </w:r>
    </w:p>
    <w:p w14:paraId="1A7F1467"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Telephone:  770 (488) 2757</w:t>
      </w:r>
    </w:p>
    <w:p w14:paraId="183E7FFF" w14:textId="77777777" w:rsidR="003C4B57" w:rsidRDefault="003C4B57" w:rsidP="003C4B57">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 xml:space="preserve">Email: </w:t>
      </w:r>
      <w:hyperlink r:id="rId7" w:history="1">
        <w:r w:rsidRPr="00C06516">
          <w:rPr>
            <w:rStyle w:val="Hyperlink"/>
            <w:rFonts w:ascii="Times New Roman" w:hAnsi="Times New Roman"/>
            <w:noProof/>
            <w:sz w:val="24"/>
          </w:rPr>
          <w:t>RBenyard@cdc.gov</w:t>
        </w:r>
      </w:hyperlink>
      <w:r>
        <w:rPr>
          <w:rFonts w:ascii="Times New Roman" w:hAnsi="Times New Roman"/>
          <w:noProof/>
          <w:color w:val="000000"/>
          <w:sz w:val="24"/>
        </w:rPr>
        <w:t xml:space="preserve"> </w:t>
      </w:r>
    </w:p>
    <w:p w14:paraId="30C1258A" w14:textId="77777777" w:rsidR="003C4B57" w:rsidRDefault="003C4B57" w:rsidP="003C4B57"/>
    <w:p w14:paraId="7CC9F90B" w14:textId="77777777" w:rsidR="00FC70C6" w:rsidRDefault="00FC70C6"/>
    <w:sectPr w:rsidR="00FC70C6" w:rsidSect="00D2690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B9604" w14:textId="77777777" w:rsidR="00B0603A" w:rsidRDefault="00B0603A" w:rsidP="00F46441">
      <w:r>
        <w:separator/>
      </w:r>
    </w:p>
  </w:endnote>
  <w:endnote w:type="continuationSeparator" w:id="0">
    <w:p w14:paraId="7CE449F5" w14:textId="77777777" w:rsidR="00B0603A" w:rsidRDefault="00B0603A" w:rsidP="00F46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C1ABE3" w14:textId="77777777" w:rsidR="00B0603A" w:rsidRDefault="00B0603A" w:rsidP="00F46441">
      <w:r>
        <w:separator/>
      </w:r>
    </w:p>
  </w:footnote>
  <w:footnote w:type="continuationSeparator" w:id="0">
    <w:p w14:paraId="65EE702E" w14:textId="77777777" w:rsidR="00B0603A" w:rsidRDefault="00B0603A" w:rsidP="00F46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33A34"/>
    <w:multiLevelType w:val="hybridMultilevel"/>
    <w:tmpl w:val="5860C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9284BA3"/>
    <w:multiLevelType w:val="hybridMultilevel"/>
    <w:tmpl w:val="54F21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B57"/>
    <w:rsid w:val="000065E5"/>
    <w:rsid w:val="00006D01"/>
    <w:rsid w:val="00094F62"/>
    <w:rsid w:val="0034785B"/>
    <w:rsid w:val="003C4B57"/>
    <w:rsid w:val="00492291"/>
    <w:rsid w:val="005E0C19"/>
    <w:rsid w:val="00645C37"/>
    <w:rsid w:val="007C6C87"/>
    <w:rsid w:val="008C5341"/>
    <w:rsid w:val="00921EFE"/>
    <w:rsid w:val="009F2E89"/>
    <w:rsid w:val="00A35A4D"/>
    <w:rsid w:val="00AA00A4"/>
    <w:rsid w:val="00AC0B82"/>
    <w:rsid w:val="00B0603A"/>
    <w:rsid w:val="00B41225"/>
    <w:rsid w:val="00B81AE7"/>
    <w:rsid w:val="00B91F53"/>
    <w:rsid w:val="00B94CC3"/>
    <w:rsid w:val="00BB1E6E"/>
    <w:rsid w:val="00D26908"/>
    <w:rsid w:val="00DD0F70"/>
    <w:rsid w:val="00E8337E"/>
    <w:rsid w:val="00EC1E6D"/>
    <w:rsid w:val="00F4212E"/>
    <w:rsid w:val="00F46441"/>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486E0E"/>
  <w15:chartTrackingRefBased/>
  <w15:docId w15:val="{93B2073F-E033-47BA-9935-AEDAB936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B57"/>
    <w:pPr>
      <w:widowControl w:val="0"/>
      <w:autoSpaceDE w:val="0"/>
      <w:autoSpaceDN w:val="0"/>
      <w:adjustRightInd w:val="0"/>
      <w:spacing w:after="0" w:line="240" w:lineRule="auto"/>
    </w:pPr>
    <w:rPr>
      <w:rFonts w:ascii="Courier" w:eastAsia="Times New Roman" w:hAnsi="Courier"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4B57"/>
    <w:rPr>
      <w:color w:val="0000FF"/>
      <w:u w:val="single"/>
    </w:rPr>
  </w:style>
  <w:style w:type="paragraph" w:styleId="ListParagraph">
    <w:name w:val="List Paragraph"/>
    <w:basedOn w:val="Normal"/>
    <w:uiPriority w:val="34"/>
    <w:qFormat/>
    <w:rsid w:val="003C4B57"/>
    <w:pPr>
      <w:widowControl/>
      <w:autoSpaceDE/>
      <w:autoSpaceDN/>
      <w:adjustRightInd/>
      <w:ind w:left="720"/>
    </w:pPr>
    <w:rPr>
      <w:rFonts w:ascii="Times New Roman" w:eastAsia="Calibri" w:hAnsi="Times New Roman"/>
      <w:sz w:val="24"/>
    </w:rPr>
  </w:style>
  <w:style w:type="paragraph" w:styleId="Header">
    <w:name w:val="header"/>
    <w:basedOn w:val="Normal"/>
    <w:link w:val="HeaderChar"/>
    <w:uiPriority w:val="99"/>
    <w:unhideWhenUsed/>
    <w:rsid w:val="00F46441"/>
    <w:pPr>
      <w:tabs>
        <w:tab w:val="center" w:pos="4680"/>
        <w:tab w:val="right" w:pos="9360"/>
      </w:tabs>
    </w:pPr>
  </w:style>
  <w:style w:type="character" w:customStyle="1" w:styleId="HeaderChar">
    <w:name w:val="Header Char"/>
    <w:basedOn w:val="DefaultParagraphFont"/>
    <w:link w:val="Header"/>
    <w:uiPriority w:val="99"/>
    <w:rsid w:val="00F46441"/>
    <w:rPr>
      <w:rFonts w:ascii="Courier" w:eastAsia="Times New Roman" w:hAnsi="Courier" w:cs="Times New Roman"/>
      <w:sz w:val="20"/>
      <w:szCs w:val="24"/>
    </w:rPr>
  </w:style>
  <w:style w:type="paragraph" w:styleId="Footer">
    <w:name w:val="footer"/>
    <w:basedOn w:val="Normal"/>
    <w:link w:val="FooterChar"/>
    <w:uiPriority w:val="99"/>
    <w:unhideWhenUsed/>
    <w:rsid w:val="00F46441"/>
    <w:pPr>
      <w:tabs>
        <w:tab w:val="center" w:pos="4680"/>
        <w:tab w:val="right" w:pos="9360"/>
      </w:tabs>
    </w:pPr>
  </w:style>
  <w:style w:type="character" w:customStyle="1" w:styleId="FooterChar">
    <w:name w:val="Footer Char"/>
    <w:basedOn w:val="DefaultParagraphFont"/>
    <w:link w:val="Footer"/>
    <w:uiPriority w:val="99"/>
    <w:rsid w:val="00F46441"/>
    <w:rPr>
      <w:rFonts w:ascii="Courier" w:eastAsia="Times New Roman" w:hAnsi="Courier" w:cs="Times New Roman"/>
      <w:sz w:val="20"/>
      <w:szCs w:val="24"/>
    </w:rPr>
  </w:style>
  <w:style w:type="character" w:styleId="CommentReference">
    <w:name w:val="annotation reference"/>
    <w:basedOn w:val="DefaultParagraphFont"/>
    <w:uiPriority w:val="99"/>
    <w:semiHidden/>
    <w:unhideWhenUsed/>
    <w:rsid w:val="00F4212E"/>
    <w:rPr>
      <w:sz w:val="16"/>
      <w:szCs w:val="16"/>
    </w:rPr>
  </w:style>
  <w:style w:type="paragraph" w:styleId="CommentText">
    <w:name w:val="annotation text"/>
    <w:basedOn w:val="Normal"/>
    <w:link w:val="CommentTextChar"/>
    <w:uiPriority w:val="99"/>
    <w:semiHidden/>
    <w:unhideWhenUsed/>
    <w:rsid w:val="00F4212E"/>
    <w:rPr>
      <w:szCs w:val="20"/>
    </w:rPr>
  </w:style>
  <w:style w:type="character" w:customStyle="1" w:styleId="CommentTextChar">
    <w:name w:val="Comment Text Char"/>
    <w:basedOn w:val="DefaultParagraphFont"/>
    <w:link w:val="CommentText"/>
    <w:uiPriority w:val="99"/>
    <w:semiHidden/>
    <w:rsid w:val="00F4212E"/>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F4212E"/>
    <w:rPr>
      <w:b/>
      <w:bCs/>
    </w:rPr>
  </w:style>
  <w:style w:type="character" w:customStyle="1" w:styleId="CommentSubjectChar">
    <w:name w:val="Comment Subject Char"/>
    <w:basedOn w:val="CommentTextChar"/>
    <w:link w:val="CommentSubject"/>
    <w:uiPriority w:val="99"/>
    <w:semiHidden/>
    <w:rsid w:val="00F4212E"/>
    <w:rPr>
      <w:rFonts w:ascii="Courier" w:eastAsia="Times New Roman" w:hAnsi="Courier" w:cs="Times New Roman"/>
      <w:b/>
      <w:bCs/>
      <w:sz w:val="20"/>
      <w:szCs w:val="20"/>
    </w:rPr>
  </w:style>
  <w:style w:type="paragraph" w:styleId="BalloonText">
    <w:name w:val="Balloon Text"/>
    <w:basedOn w:val="Normal"/>
    <w:link w:val="BalloonTextChar"/>
    <w:uiPriority w:val="99"/>
    <w:semiHidden/>
    <w:unhideWhenUsed/>
    <w:rsid w:val="00F42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12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Benyard@cd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Strozier, Dianne (CDC/OSTLTS/DPHPI)</dc:creator>
  <cp:keywords/>
  <dc:description/>
  <cp:lastModifiedBy>Browning, Linton C. (CDC/OCOO/OFR/OGS)</cp:lastModifiedBy>
  <cp:revision>2</cp:revision>
  <dcterms:created xsi:type="dcterms:W3CDTF">2019-03-26T16:20:00Z</dcterms:created>
  <dcterms:modified xsi:type="dcterms:W3CDTF">2019-03-26T16:20:00Z</dcterms:modified>
</cp:coreProperties>
</file>