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D10DDC" w14:textId="77777777" w:rsidR="00D136A5" w:rsidRDefault="00D136A5" w:rsidP="00D136A5">
      <w:pPr>
        <w:spacing w:line="240" w:lineRule="auto"/>
        <w:jc w:val="center"/>
        <w:rPr>
          <w:rFonts w:ascii="Times New Roman" w:eastAsia="Times New Roman" w:hAnsi="Times New Roman" w:cs="Times New Roman"/>
          <w:color w:val="000000" w:themeColor="text1"/>
          <w:sz w:val="24"/>
          <w:szCs w:val="24"/>
        </w:rPr>
      </w:pPr>
      <w:r w:rsidRPr="538828B9">
        <w:rPr>
          <w:rFonts w:ascii="Times New Roman" w:eastAsia="Times New Roman" w:hAnsi="Times New Roman" w:cs="Times New Roman"/>
          <w:b/>
          <w:bCs/>
          <w:color w:val="000000" w:themeColor="text1"/>
          <w:sz w:val="24"/>
          <w:szCs w:val="24"/>
        </w:rPr>
        <w:t>United States Department of State</w:t>
      </w:r>
    </w:p>
    <w:p w14:paraId="2D0D909B" w14:textId="77777777" w:rsidR="00D136A5" w:rsidRDefault="00D136A5" w:rsidP="00D136A5">
      <w:pPr>
        <w:spacing w:line="240" w:lineRule="auto"/>
        <w:jc w:val="center"/>
        <w:rPr>
          <w:rFonts w:ascii="Times New Roman" w:eastAsia="Times New Roman" w:hAnsi="Times New Roman" w:cs="Times New Roman"/>
          <w:color w:val="000000" w:themeColor="text1"/>
          <w:sz w:val="24"/>
          <w:szCs w:val="24"/>
        </w:rPr>
      </w:pPr>
      <w:r w:rsidRPr="538828B9">
        <w:rPr>
          <w:rFonts w:ascii="Times New Roman" w:eastAsia="Times New Roman" w:hAnsi="Times New Roman" w:cs="Times New Roman"/>
          <w:b/>
          <w:bCs/>
          <w:color w:val="000000" w:themeColor="text1"/>
          <w:sz w:val="24"/>
          <w:szCs w:val="24"/>
        </w:rPr>
        <w:t>Bureau of Democracy, Human Rights and Labor (DRL)</w:t>
      </w:r>
    </w:p>
    <w:p w14:paraId="7C71626C" w14:textId="7708B1E0" w:rsidR="00D136A5" w:rsidRPr="00F44F14" w:rsidRDefault="00D136A5" w:rsidP="00D136A5">
      <w:pPr>
        <w:spacing w:line="240" w:lineRule="auto"/>
        <w:jc w:val="center"/>
        <w:rPr>
          <w:rFonts w:ascii="Times New Roman" w:eastAsia="Times New Roman" w:hAnsi="Times New Roman" w:cs="Times New Roman"/>
          <w:color w:val="000000" w:themeColor="text1"/>
          <w:sz w:val="24"/>
          <w:szCs w:val="24"/>
          <w:highlight w:val="yellow"/>
        </w:rPr>
      </w:pPr>
      <w:r w:rsidRPr="521E77BD">
        <w:rPr>
          <w:rFonts w:ascii="Times New Roman" w:eastAsia="Times New Roman" w:hAnsi="Times New Roman" w:cs="Times New Roman"/>
          <w:b/>
          <w:bCs/>
          <w:color w:val="000000" w:themeColor="text1"/>
          <w:sz w:val="24"/>
          <w:szCs w:val="24"/>
        </w:rPr>
        <w:t xml:space="preserve">Notice of Funding Opportunity (NOFO):  </w:t>
      </w:r>
      <w:r w:rsidRPr="521E77BD">
        <w:rPr>
          <w:rFonts w:ascii="Times New Roman" w:eastAsia="Times New Roman" w:hAnsi="Times New Roman" w:cs="Times New Roman"/>
          <w:color w:val="000000" w:themeColor="text1"/>
          <w:sz w:val="24"/>
          <w:szCs w:val="24"/>
        </w:rPr>
        <w:t>DRL FY</w:t>
      </w:r>
      <w:r w:rsidR="00E10B16">
        <w:rPr>
          <w:rFonts w:ascii="Times New Roman" w:eastAsia="Times New Roman" w:hAnsi="Times New Roman" w:cs="Times New Roman"/>
          <w:color w:val="000000" w:themeColor="text1"/>
          <w:sz w:val="24"/>
          <w:szCs w:val="24"/>
        </w:rPr>
        <w:t>20</w:t>
      </w:r>
      <w:r w:rsidRPr="521E77BD">
        <w:rPr>
          <w:rFonts w:ascii="Times New Roman" w:eastAsia="Times New Roman" w:hAnsi="Times New Roman" w:cs="Times New Roman"/>
          <w:color w:val="000000" w:themeColor="text1"/>
          <w:sz w:val="24"/>
          <w:szCs w:val="24"/>
        </w:rPr>
        <w:t xml:space="preserve">21: Global Equality Fund LGBTQI+ Programs in </w:t>
      </w:r>
      <w:r w:rsidRPr="521E77BD">
        <w:rPr>
          <w:rFonts w:ascii="Times New Roman" w:hAnsi="Times New Roman"/>
          <w:sz w:val="24"/>
          <w:szCs w:val="24"/>
        </w:rPr>
        <w:t>West Africa, Central Africa, the Middle East and North Africa, South and Central Asia, and East Asia</w:t>
      </w:r>
      <w:r w:rsidRPr="521E77BD">
        <w:rPr>
          <w:rFonts w:ascii="Times New Roman" w:hAnsi="Times New Roman"/>
          <w:sz w:val="28"/>
          <w:szCs w:val="28"/>
        </w:rPr>
        <w:t xml:space="preserve"> </w:t>
      </w:r>
      <w:r w:rsidRPr="521E77BD">
        <w:rPr>
          <w:rFonts w:ascii="Times New Roman" w:eastAsia="Times New Roman" w:hAnsi="Times New Roman" w:cs="Times New Roman"/>
          <w:color w:val="000000" w:themeColor="text1"/>
          <w:sz w:val="24"/>
          <w:szCs w:val="24"/>
        </w:rPr>
        <w:t xml:space="preserve"> </w:t>
      </w:r>
    </w:p>
    <w:p w14:paraId="4FD2B94C" w14:textId="37A8DC4A" w:rsidR="00D136A5" w:rsidRPr="00687453" w:rsidRDefault="00D136A5" w:rsidP="00687453">
      <w:pPr>
        <w:spacing w:line="240" w:lineRule="auto"/>
        <w:jc w:val="center"/>
        <w:rPr>
          <w:rFonts w:ascii="Times New Roman" w:eastAsia="Times New Roman" w:hAnsi="Times New Roman" w:cs="Times New Roman"/>
          <w:color w:val="000000" w:themeColor="text1"/>
          <w:sz w:val="24"/>
          <w:szCs w:val="24"/>
          <w:highlight w:val="yellow"/>
        </w:rPr>
      </w:pPr>
      <w:r w:rsidRPr="47B14830">
        <w:rPr>
          <w:rFonts w:ascii="Times New Roman" w:eastAsia="Times New Roman" w:hAnsi="Times New Roman" w:cs="Times New Roman"/>
          <w:color w:val="000000" w:themeColor="text1"/>
          <w:sz w:val="24"/>
          <w:szCs w:val="24"/>
        </w:rPr>
        <w:t xml:space="preserve">This is the announcement of funding opportunity number </w:t>
      </w:r>
      <w:r w:rsidR="00A51108" w:rsidRPr="00A51108">
        <w:rPr>
          <w:rFonts w:ascii="Times New Roman" w:eastAsia="Times New Roman" w:hAnsi="Times New Roman" w:cs="Times New Roman"/>
          <w:b/>
          <w:bCs/>
          <w:color w:val="000000" w:themeColor="text1"/>
          <w:sz w:val="24"/>
          <w:szCs w:val="24"/>
        </w:rPr>
        <w:t>SFOP0008500</w:t>
      </w:r>
      <w:r w:rsidR="00687453">
        <w:rPr>
          <w:rFonts w:ascii="Times New Roman" w:eastAsia="Times New Roman" w:hAnsi="Times New Roman" w:cs="Times New Roman"/>
          <w:color w:val="000000" w:themeColor="text1"/>
          <w:sz w:val="24"/>
          <w:szCs w:val="24"/>
          <w:highlight w:val="yellow"/>
        </w:rPr>
        <w:br/>
      </w:r>
    </w:p>
    <w:p w14:paraId="55C56C20" w14:textId="43607F44" w:rsidR="00D136A5" w:rsidRPr="00687453" w:rsidRDefault="00D136A5" w:rsidP="00D136A5">
      <w:pPr>
        <w:spacing w:line="240" w:lineRule="auto"/>
        <w:rPr>
          <w:rFonts w:ascii="Times New Roman" w:eastAsia="Times New Roman" w:hAnsi="Times New Roman" w:cs="Times New Roman"/>
          <w:color w:val="000000" w:themeColor="text1"/>
          <w:sz w:val="24"/>
          <w:szCs w:val="24"/>
          <w:highlight w:val="yellow"/>
        </w:rPr>
      </w:pPr>
      <w:r w:rsidRPr="47B14830">
        <w:rPr>
          <w:rFonts w:ascii="Times New Roman" w:eastAsia="Times New Roman" w:hAnsi="Times New Roman" w:cs="Times New Roman"/>
          <w:b/>
          <w:bCs/>
          <w:color w:val="000000" w:themeColor="text1"/>
          <w:sz w:val="24"/>
          <w:szCs w:val="24"/>
        </w:rPr>
        <w:t>Catalog of Federal Domestic Assistance Number:</w:t>
      </w:r>
      <w:r w:rsidRPr="47B14830">
        <w:rPr>
          <w:rFonts w:ascii="Times New Roman" w:eastAsia="Times New Roman" w:hAnsi="Times New Roman" w:cs="Times New Roman"/>
          <w:color w:val="000000" w:themeColor="text1"/>
          <w:sz w:val="24"/>
          <w:szCs w:val="24"/>
        </w:rPr>
        <w:t xml:space="preserve"> </w:t>
      </w:r>
      <w:r w:rsidR="00FF6239">
        <w:rPr>
          <w:rFonts w:ascii="Times New Roman" w:eastAsia="Times New Roman" w:hAnsi="Times New Roman" w:cs="Times New Roman"/>
          <w:color w:val="000000" w:themeColor="text1"/>
          <w:sz w:val="24"/>
          <w:szCs w:val="24"/>
        </w:rPr>
        <w:t>19.345</w:t>
      </w:r>
      <w:r w:rsidR="00687453">
        <w:rPr>
          <w:rFonts w:ascii="Times New Roman" w:eastAsia="Times New Roman" w:hAnsi="Times New Roman" w:cs="Times New Roman"/>
          <w:color w:val="000000" w:themeColor="text1"/>
          <w:sz w:val="24"/>
          <w:szCs w:val="24"/>
        </w:rPr>
        <w:br/>
      </w:r>
    </w:p>
    <w:p w14:paraId="3BC643C6" w14:textId="67FF24D9" w:rsidR="00D136A5" w:rsidRDefault="00D136A5" w:rsidP="00D136A5">
      <w:pPr>
        <w:spacing w:line="240" w:lineRule="auto"/>
        <w:rPr>
          <w:rFonts w:ascii="Times New Roman" w:eastAsia="Times New Roman" w:hAnsi="Times New Roman" w:cs="Times New Roman"/>
          <w:color w:val="000000" w:themeColor="text1"/>
          <w:sz w:val="24"/>
          <w:szCs w:val="24"/>
        </w:rPr>
      </w:pPr>
      <w:r w:rsidRPr="538828B9">
        <w:rPr>
          <w:rFonts w:ascii="Times New Roman" w:eastAsia="Times New Roman" w:hAnsi="Times New Roman" w:cs="Times New Roman"/>
          <w:b/>
          <w:bCs/>
          <w:color w:val="000000" w:themeColor="text1"/>
          <w:sz w:val="24"/>
          <w:szCs w:val="24"/>
        </w:rPr>
        <w:t>Type of Solicitation:</w:t>
      </w:r>
      <w:r w:rsidRPr="538828B9">
        <w:rPr>
          <w:rFonts w:ascii="Times New Roman" w:eastAsia="Times New Roman" w:hAnsi="Times New Roman" w:cs="Times New Roman"/>
          <w:color w:val="000000" w:themeColor="text1"/>
          <w:sz w:val="24"/>
          <w:szCs w:val="24"/>
        </w:rPr>
        <w:t xml:space="preserve">  Open Solicitation</w:t>
      </w:r>
      <w:r w:rsidR="00687453">
        <w:rPr>
          <w:rFonts w:ascii="Times New Roman" w:eastAsia="Times New Roman" w:hAnsi="Times New Roman" w:cs="Times New Roman"/>
          <w:color w:val="000000" w:themeColor="text1"/>
          <w:sz w:val="24"/>
          <w:szCs w:val="24"/>
        </w:rPr>
        <w:br/>
      </w:r>
    </w:p>
    <w:p w14:paraId="13CCEB21" w14:textId="42358E2C" w:rsidR="00D136A5" w:rsidRPr="00FF6239"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 xml:space="preserve">Application Deadline: </w:t>
      </w:r>
      <w:r w:rsidRPr="00FF6239">
        <w:rPr>
          <w:rFonts w:ascii="Times New Roman" w:eastAsia="Times New Roman" w:hAnsi="Times New Roman" w:cs="Times New Roman"/>
          <w:color w:val="000000" w:themeColor="text1"/>
          <w:sz w:val="24"/>
          <w:szCs w:val="24"/>
        </w:rPr>
        <w:t xml:space="preserve"> 11:59 PM ET on </w:t>
      </w:r>
      <w:r w:rsidR="00FF6239" w:rsidRPr="00FF6239">
        <w:rPr>
          <w:rFonts w:ascii="Times New Roman" w:eastAsia="Times New Roman" w:hAnsi="Times New Roman" w:cs="Times New Roman"/>
          <w:color w:val="000000" w:themeColor="text1"/>
          <w:sz w:val="24"/>
          <w:szCs w:val="24"/>
        </w:rPr>
        <w:t>4 MARCH 2022</w:t>
      </w:r>
      <w:r w:rsidR="00687453">
        <w:rPr>
          <w:rFonts w:ascii="Times New Roman" w:eastAsia="Times New Roman" w:hAnsi="Times New Roman" w:cs="Times New Roman"/>
          <w:color w:val="000000" w:themeColor="text1"/>
          <w:sz w:val="24"/>
          <w:szCs w:val="24"/>
        </w:rPr>
        <w:br/>
      </w:r>
    </w:p>
    <w:p w14:paraId="3C855714" w14:textId="1B9BF2B2" w:rsidR="00D136A5" w:rsidRPr="00FF6239"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Funding Floor:</w:t>
      </w:r>
      <w:r w:rsidRPr="00FF6239">
        <w:rPr>
          <w:rFonts w:ascii="Times New Roman" w:eastAsia="Times New Roman" w:hAnsi="Times New Roman" w:cs="Times New Roman"/>
          <w:color w:val="000000" w:themeColor="text1"/>
          <w:sz w:val="24"/>
          <w:szCs w:val="24"/>
        </w:rPr>
        <w:t xml:space="preserve">  $750,000</w:t>
      </w:r>
      <w:r w:rsidR="00687453">
        <w:rPr>
          <w:rFonts w:ascii="Times New Roman" w:eastAsia="Times New Roman" w:hAnsi="Times New Roman" w:cs="Times New Roman"/>
          <w:color w:val="000000" w:themeColor="text1"/>
          <w:sz w:val="24"/>
          <w:szCs w:val="24"/>
        </w:rPr>
        <w:br/>
      </w:r>
    </w:p>
    <w:p w14:paraId="2A4B1218" w14:textId="48BA5FCB" w:rsidR="00D136A5" w:rsidRPr="00FF6239"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 xml:space="preserve">Funding Ceiling: </w:t>
      </w:r>
      <w:r w:rsidRPr="00FF6239">
        <w:rPr>
          <w:rFonts w:ascii="Times New Roman" w:eastAsia="Times New Roman" w:hAnsi="Times New Roman" w:cs="Times New Roman"/>
          <w:color w:val="000000" w:themeColor="text1"/>
          <w:sz w:val="24"/>
          <w:szCs w:val="24"/>
        </w:rPr>
        <w:t xml:space="preserve"> $1,000,000</w:t>
      </w:r>
      <w:r w:rsidR="00687453">
        <w:rPr>
          <w:rFonts w:ascii="Times New Roman" w:eastAsia="Times New Roman" w:hAnsi="Times New Roman" w:cs="Times New Roman"/>
          <w:color w:val="000000" w:themeColor="text1"/>
          <w:sz w:val="24"/>
          <w:szCs w:val="24"/>
        </w:rPr>
        <w:br/>
      </w:r>
    </w:p>
    <w:p w14:paraId="6BB0E041" w14:textId="30F9D360" w:rsidR="00D136A5" w:rsidRPr="00687453" w:rsidRDefault="00D136A5" w:rsidP="00D136A5">
      <w:pPr>
        <w:spacing w:line="240" w:lineRule="auto"/>
        <w:rPr>
          <w:rFonts w:ascii="Times New Roman" w:eastAsia="Times New Roman" w:hAnsi="Times New Roman" w:cs="Times New Roman"/>
          <w:b/>
          <w:bCs/>
          <w:color w:val="000000" w:themeColor="text1"/>
          <w:sz w:val="24"/>
          <w:szCs w:val="24"/>
        </w:rPr>
      </w:pPr>
      <w:r w:rsidRPr="00FF6239">
        <w:rPr>
          <w:rFonts w:ascii="Times New Roman" w:eastAsia="Times New Roman" w:hAnsi="Times New Roman" w:cs="Times New Roman"/>
          <w:b/>
          <w:bCs/>
          <w:color w:val="000000" w:themeColor="text1"/>
          <w:sz w:val="24"/>
          <w:szCs w:val="24"/>
        </w:rPr>
        <w:t xml:space="preserve">Anticipated Number of Awards:  </w:t>
      </w:r>
      <w:r w:rsidRPr="00FF6239">
        <w:rPr>
          <w:rFonts w:ascii="Times New Roman" w:eastAsia="Times New Roman" w:hAnsi="Times New Roman" w:cs="Times New Roman"/>
          <w:color w:val="000000" w:themeColor="text1"/>
          <w:sz w:val="24"/>
          <w:szCs w:val="24"/>
        </w:rPr>
        <w:t>6</w:t>
      </w:r>
      <w:r w:rsidR="00687453">
        <w:rPr>
          <w:rFonts w:ascii="Times New Roman" w:eastAsia="Times New Roman" w:hAnsi="Times New Roman" w:cs="Times New Roman"/>
          <w:color w:val="000000" w:themeColor="text1"/>
          <w:sz w:val="24"/>
          <w:szCs w:val="24"/>
        </w:rPr>
        <w:br/>
      </w:r>
    </w:p>
    <w:p w14:paraId="14106005" w14:textId="7B2EE18A" w:rsidR="00D136A5" w:rsidRPr="00FF6239"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 xml:space="preserve">Type </w:t>
      </w:r>
      <w:r w:rsidR="00687453">
        <w:rPr>
          <w:rFonts w:ascii="Times New Roman" w:eastAsia="Times New Roman" w:hAnsi="Times New Roman" w:cs="Times New Roman"/>
          <w:b/>
          <w:bCs/>
          <w:color w:val="000000" w:themeColor="text1"/>
          <w:sz w:val="24"/>
          <w:szCs w:val="24"/>
        </w:rPr>
        <w:t>o</w:t>
      </w:r>
      <w:r w:rsidRPr="00FF6239">
        <w:rPr>
          <w:rFonts w:ascii="Times New Roman" w:eastAsia="Times New Roman" w:hAnsi="Times New Roman" w:cs="Times New Roman"/>
          <w:b/>
          <w:bCs/>
          <w:color w:val="000000" w:themeColor="text1"/>
          <w:sz w:val="24"/>
          <w:szCs w:val="24"/>
        </w:rPr>
        <w:t>f Award</w:t>
      </w:r>
      <w:r w:rsidRPr="00FF6239">
        <w:rPr>
          <w:rFonts w:ascii="Times New Roman" w:eastAsia="Times New Roman" w:hAnsi="Times New Roman" w:cs="Times New Roman"/>
          <w:color w:val="000000" w:themeColor="text1"/>
          <w:sz w:val="24"/>
          <w:szCs w:val="24"/>
        </w:rPr>
        <w:t xml:space="preserve">:  Grant </w:t>
      </w:r>
      <w:r w:rsidR="00687453">
        <w:rPr>
          <w:rFonts w:ascii="Times New Roman" w:eastAsia="Times New Roman" w:hAnsi="Times New Roman" w:cs="Times New Roman"/>
          <w:color w:val="000000" w:themeColor="text1"/>
          <w:sz w:val="24"/>
          <w:szCs w:val="24"/>
        </w:rPr>
        <w:br/>
      </w:r>
    </w:p>
    <w:p w14:paraId="67D91E1F" w14:textId="25FF860A" w:rsidR="00D136A5" w:rsidRPr="00FF6239"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Period of Performance</w:t>
      </w:r>
      <w:r w:rsidR="002D02D8">
        <w:rPr>
          <w:rFonts w:ascii="Times New Roman" w:eastAsia="Times New Roman" w:hAnsi="Times New Roman" w:cs="Times New Roman"/>
          <w:b/>
          <w:bCs/>
          <w:color w:val="000000" w:themeColor="text1"/>
          <w:sz w:val="24"/>
          <w:szCs w:val="24"/>
        </w:rPr>
        <w:t xml:space="preserve">: </w:t>
      </w:r>
      <w:r w:rsidRPr="00FF6239">
        <w:rPr>
          <w:rFonts w:ascii="Times New Roman" w:eastAsia="Times New Roman" w:hAnsi="Times New Roman" w:cs="Times New Roman"/>
          <w:color w:val="000000" w:themeColor="text1"/>
          <w:sz w:val="24"/>
          <w:szCs w:val="24"/>
        </w:rPr>
        <w:t>24-48 months</w:t>
      </w:r>
      <w:r w:rsidR="00687453">
        <w:rPr>
          <w:rFonts w:ascii="Times New Roman" w:eastAsia="Times New Roman" w:hAnsi="Times New Roman" w:cs="Times New Roman"/>
          <w:color w:val="000000" w:themeColor="text1"/>
          <w:sz w:val="24"/>
          <w:szCs w:val="24"/>
        </w:rPr>
        <w:br/>
      </w:r>
    </w:p>
    <w:p w14:paraId="0F656DA5"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0FF6239">
        <w:rPr>
          <w:rFonts w:ascii="Times New Roman" w:eastAsia="Times New Roman" w:hAnsi="Times New Roman" w:cs="Times New Roman"/>
          <w:b/>
          <w:bCs/>
          <w:color w:val="000000" w:themeColor="text1"/>
          <w:sz w:val="24"/>
          <w:szCs w:val="24"/>
        </w:rPr>
        <w:t xml:space="preserve">Anticipated Time to Award (pending availability of funds): </w:t>
      </w:r>
      <w:r w:rsidRPr="00FF6239">
        <w:rPr>
          <w:rFonts w:ascii="Times New Roman" w:eastAsia="Times New Roman" w:hAnsi="Times New Roman" w:cs="Times New Roman"/>
          <w:color w:val="000000" w:themeColor="text1"/>
          <w:sz w:val="24"/>
          <w:szCs w:val="24"/>
        </w:rPr>
        <w:t xml:space="preserve"> 2-8 months</w:t>
      </w:r>
    </w:p>
    <w:p w14:paraId="412C196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53D647D3"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47B14830">
        <w:rPr>
          <w:rFonts w:ascii="Times New Roman" w:eastAsia="Times New Roman" w:hAnsi="Times New Roman" w:cs="Times New Roman"/>
          <w:b/>
          <w:bCs/>
          <w:color w:val="000000" w:themeColor="text1"/>
          <w:sz w:val="24"/>
          <w:szCs w:val="24"/>
        </w:rPr>
        <w:t>Project Description</w:t>
      </w:r>
    </w:p>
    <w:p w14:paraId="5E8E3C39"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 xml:space="preserve">The U.S. Department of State, Bureau of Democracy, Human Rights and Labor (DRL) invites civil society organizations (CSOs) to submit applications for projects that provide lesbian, gay, bisexual, transgender, queer, and intersex (LGBTQI+) communities with the tools to empower local movements and communities, prevent, mitigate, and recover from violence, discrimination, stigma, and human rights abuses, promote full social inclusion, or address critical issues of justice.  Projects should be focused on one or more of the following regions: West Africa, Central Africa, the Middle East and North Africa, South and Central Asia, and East Asia. </w:t>
      </w:r>
      <w:r w:rsidRPr="521E77BD">
        <w:rPr>
          <w:rFonts w:ascii="Times New Roman" w:eastAsia="Times New Roman" w:hAnsi="Times New Roman" w:cs="Times New Roman"/>
          <w:color w:val="auto"/>
          <w:sz w:val="24"/>
          <w:szCs w:val="24"/>
        </w:rPr>
        <w:t xml:space="preserve">We intend for projects to be led by, or have strong support from and participation by, LGBTQI+ organizations and communities. </w:t>
      </w:r>
    </w:p>
    <w:p w14:paraId="11A936FE"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23AF7169"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Successful proposals will be funded by the resources of the Global Equality Fund, a public-private partnership including the governments of Argentina, Australia, Canada, Chile, Croatia, Denmark, Finland, France, Germany, Iceland, Italy, Montenegro, the Netherlands, Norway, Sweden, Uruguay and the United States, as well as the Arcus Foundation, the John D. Evans Foundation, FRI: the Norwegian Organization for Sexual and Gender Diversity, the M·A·C AIDS Fund, Deloitte LLP, the Royal Bank of Canada, Hilton, Bloomberg LP, Thomson Reuters Foundation </w:t>
      </w:r>
      <w:proofErr w:type="spellStart"/>
      <w:r w:rsidRPr="03CFC159">
        <w:rPr>
          <w:rFonts w:ascii="Times New Roman" w:eastAsia="Times New Roman" w:hAnsi="Times New Roman" w:cs="Times New Roman"/>
          <w:color w:val="000000" w:themeColor="text1"/>
          <w:sz w:val="24"/>
          <w:szCs w:val="24"/>
        </w:rPr>
        <w:t>TrustLaw</w:t>
      </w:r>
      <w:proofErr w:type="spellEnd"/>
      <w:r w:rsidRPr="03CFC159">
        <w:rPr>
          <w:rFonts w:ascii="Times New Roman" w:eastAsia="Times New Roman" w:hAnsi="Times New Roman" w:cs="Times New Roman"/>
          <w:color w:val="000000" w:themeColor="text1"/>
          <w:sz w:val="24"/>
          <w:szCs w:val="24"/>
        </w:rPr>
        <w:t xml:space="preserve"> Initiative, Human Rights Campaign, and Out Leadership.</w:t>
      </w:r>
    </w:p>
    <w:p w14:paraId="1C9E9965"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0B6F7FC7"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The overall goal of these funds is to advance the human rights of persons who face discrimination, violence, or abuse on account of their real or perceived sexual orientation, gender identity, gender expression, or sex characteristics in West Africa, Central Africa, Middle East and North Africa, South and Central Asia, and East Asia.  DRL will consider proposals for regional or single country programs.  Regional programming should be conducted in multiple target countries, as it is appropriate and safe to do so.</w:t>
      </w:r>
    </w:p>
    <w:p w14:paraId="4F859EBA"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54273091"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 xml:space="preserve">DRL welcomes proposals that support exchange and collaboration among LGBTQI+ CSOs and activists in the target countries specified, particularly between CSOs and activists from countries with differing environments for the protection of rights of LGBTQI+ individuals, in order to support the growth of nascent and heavily repressed LGBTQI+ movements.  DRL strongly encourages proposals from CSOs operating in the communities in which they propose programming. </w:t>
      </w:r>
    </w:p>
    <w:p w14:paraId="7E7F1332"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6C107446"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DRL invites organizations to submit proposals that respond to the Global Equality Fund’s strategic framework, which includes, but are not limited to the following areas: </w:t>
      </w:r>
    </w:p>
    <w:p w14:paraId="4E499F3C"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796E99BC"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b/>
          <w:bCs/>
          <w:color w:val="000000" w:themeColor="text1"/>
          <w:sz w:val="24"/>
          <w:szCs w:val="24"/>
        </w:rPr>
        <w:t>Freedom from Violence:</w:t>
      </w:r>
      <w:r w:rsidRPr="03CFC159">
        <w:rPr>
          <w:rFonts w:ascii="Times New Roman" w:eastAsia="Times New Roman" w:hAnsi="Times New Roman" w:cs="Times New Roman"/>
          <w:color w:val="000000" w:themeColor="text1"/>
          <w:sz w:val="24"/>
          <w:szCs w:val="24"/>
        </w:rPr>
        <w:t xml:space="preserve"> LGBTQI+ individuals, organizations and communities are safe and secure from all forms of violence, including threats, intimidation, harassment, abuse, sexual violence, and psychological or physical harm. </w:t>
      </w:r>
    </w:p>
    <w:p w14:paraId="230CB271"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39265751"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213BF0EB">
        <w:rPr>
          <w:rFonts w:ascii="Times New Roman" w:eastAsia="Times New Roman" w:hAnsi="Times New Roman" w:cs="Times New Roman"/>
          <w:color w:val="000000" w:themeColor="text1"/>
          <w:sz w:val="24"/>
          <w:szCs w:val="24"/>
        </w:rPr>
        <w:t xml:space="preserve">Objectives may include, but are not limited to: increased capacity to document and advocate against violence and other violations of human rights targeting LGBTQI+ persons, as well as investigation processes (or lack thereof); </w:t>
      </w:r>
      <w:r>
        <w:rPr>
          <w:rFonts w:ascii="Times New Roman" w:eastAsia="Times New Roman" w:hAnsi="Times New Roman" w:cs="Times New Roman"/>
          <w:color w:val="000000" w:themeColor="text1"/>
          <w:sz w:val="24"/>
          <w:szCs w:val="24"/>
        </w:rPr>
        <w:t xml:space="preserve">addressing police accountability for </w:t>
      </w:r>
      <w:r w:rsidRPr="213BF0EB">
        <w:rPr>
          <w:rFonts w:ascii="Times New Roman" w:eastAsia="Times New Roman" w:hAnsi="Times New Roman" w:cs="Times New Roman"/>
          <w:color w:val="000000" w:themeColor="text1"/>
          <w:sz w:val="24"/>
          <w:szCs w:val="24"/>
        </w:rPr>
        <w:t xml:space="preserve">violence against transgender and gender diverse people; </w:t>
      </w:r>
      <w:r>
        <w:rPr>
          <w:rFonts w:ascii="Times New Roman" w:eastAsia="Times New Roman" w:hAnsi="Times New Roman" w:cs="Times New Roman"/>
          <w:color w:val="000000" w:themeColor="text1"/>
          <w:sz w:val="24"/>
          <w:szCs w:val="24"/>
        </w:rPr>
        <w:t xml:space="preserve">increased programming around violations targeting lesbian and bisexual women including forced marriage, ‘corrective’ rape, sexual violence, and family violence; </w:t>
      </w:r>
      <w:r w:rsidRPr="213BF0EB">
        <w:rPr>
          <w:rFonts w:ascii="Times New Roman" w:eastAsia="Times New Roman" w:hAnsi="Times New Roman" w:cs="Times New Roman"/>
          <w:color w:val="000000" w:themeColor="text1"/>
          <w:sz w:val="24"/>
          <w:szCs w:val="24"/>
        </w:rPr>
        <w:t xml:space="preserve">increased and proactive engagement from national and local authorities, including police and other law enforcement agencies, to prevent, mitigate, or respond to violence targeting LGBTQI+ persons, and abuse/misuse of detention;  increased protection, safety, and </w:t>
      </w:r>
      <w:r w:rsidRPr="213BF0EB">
        <w:rPr>
          <w:rFonts w:ascii="Times New Roman" w:eastAsia="Times New Roman" w:hAnsi="Times New Roman" w:cs="Times New Roman"/>
          <w:color w:val="000000" w:themeColor="text1"/>
          <w:sz w:val="24"/>
          <w:szCs w:val="24"/>
        </w:rPr>
        <w:lastRenderedPageBreak/>
        <w:t xml:space="preserve">support for LGBTQI+ persons and their advocates at risk of violence or who have experienced violence, including hate crimes and sexual violence; </w:t>
      </w:r>
      <w:proofErr w:type="spellStart"/>
      <w:r w:rsidRPr="213BF0EB">
        <w:rPr>
          <w:rFonts w:ascii="Times New Roman" w:eastAsia="Times New Roman" w:hAnsi="Times New Roman" w:cs="Times New Roman"/>
          <w:color w:val="000000" w:themeColor="text1"/>
          <w:sz w:val="24"/>
          <w:szCs w:val="24"/>
        </w:rPr>
        <w:t>ending</w:t>
      </w:r>
      <w:proofErr w:type="spellEnd"/>
      <w:r w:rsidRPr="213BF0EB">
        <w:rPr>
          <w:rFonts w:ascii="Times New Roman" w:eastAsia="Times New Roman" w:hAnsi="Times New Roman" w:cs="Times New Roman"/>
          <w:color w:val="000000" w:themeColor="text1"/>
          <w:sz w:val="24"/>
          <w:szCs w:val="24"/>
        </w:rPr>
        <w:t xml:space="preserve"> practices of nonconsensual medical interventions against intersex persons; and, establishment of or support for broad-based advocacy coalitions.</w:t>
      </w:r>
    </w:p>
    <w:p w14:paraId="0EF09618"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3EBADE2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b/>
          <w:bCs/>
          <w:color w:val="000000" w:themeColor="text1"/>
          <w:sz w:val="24"/>
          <w:szCs w:val="24"/>
        </w:rPr>
        <w:t>Access to Justice:</w:t>
      </w:r>
      <w:r w:rsidRPr="521E77BD">
        <w:rPr>
          <w:rFonts w:ascii="Times New Roman" w:eastAsia="Times New Roman" w:hAnsi="Times New Roman" w:cs="Times New Roman"/>
          <w:color w:val="000000" w:themeColor="text1"/>
          <w:sz w:val="24"/>
          <w:szCs w:val="24"/>
        </w:rPr>
        <w:t xml:space="preserve"> Civil society works to ensure equal protection under the law through improved jurisprudence on the human rights of LGBTQI+ people and that the rule of law is fairly and consistently implemented and enforced to affirm and include LGBTQI+ people. </w:t>
      </w:r>
    </w:p>
    <w:p w14:paraId="21E84F7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683C3F0C"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Objectives may include, but are not limited to: improved capacity of judicial officials, lawyers and CSOs to leverage existing domestic</w:t>
      </w:r>
      <w:r>
        <w:rPr>
          <w:rFonts w:ascii="Times New Roman" w:eastAsia="Times New Roman" w:hAnsi="Times New Roman" w:cs="Times New Roman"/>
          <w:color w:val="000000" w:themeColor="text1"/>
          <w:sz w:val="24"/>
          <w:szCs w:val="24"/>
        </w:rPr>
        <w:t>, regional,</w:t>
      </w:r>
      <w:r w:rsidRPr="03CFC159">
        <w:rPr>
          <w:rFonts w:ascii="Times New Roman" w:eastAsia="Times New Roman" w:hAnsi="Times New Roman" w:cs="Times New Roman"/>
          <w:color w:val="000000" w:themeColor="text1"/>
          <w:sz w:val="24"/>
          <w:szCs w:val="24"/>
        </w:rPr>
        <w:t xml:space="preserve"> and internationa</w:t>
      </w:r>
      <w:r>
        <w:rPr>
          <w:rFonts w:ascii="Times New Roman" w:eastAsia="Times New Roman" w:hAnsi="Times New Roman" w:cs="Times New Roman"/>
          <w:color w:val="000000" w:themeColor="text1"/>
          <w:sz w:val="24"/>
          <w:szCs w:val="24"/>
        </w:rPr>
        <w:t>l</w:t>
      </w:r>
      <w:r w:rsidRPr="03CFC159">
        <w:rPr>
          <w:rFonts w:ascii="Times New Roman" w:eastAsia="Times New Roman" w:hAnsi="Times New Roman" w:cs="Times New Roman"/>
          <w:color w:val="000000" w:themeColor="text1"/>
          <w:sz w:val="24"/>
          <w:szCs w:val="24"/>
        </w:rPr>
        <w:t xml:space="preserve"> frameworks</w:t>
      </w:r>
      <w:r>
        <w:rPr>
          <w:rFonts w:ascii="Times New Roman" w:eastAsia="Times New Roman" w:hAnsi="Times New Roman" w:cs="Times New Roman"/>
          <w:color w:val="000000" w:themeColor="text1"/>
          <w:sz w:val="24"/>
          <w:szCs w:val="24"/>
        </w:rPr>
        <w:t>, legal mechanisms,</w:t>
      </w:r>
      <w:r w:rsidRPr="03CFC159">
        <w:rPr>
          <w:rFonts w:ascii="Times New Roman" w:eastAsia="Times New Roman" w:hAnsi="Times New Roman" w:cs="Times New Roman"/>
          <w:color w:val="000000" w:themeColor="text1"/>
          <w:sz w:val="24"/>
          <w:szCs w:val="24"/>
        </w:rPr>
        <w:t xml:space="preserve"> and institutional support to protect the human rights of LGBTQI+ persons;  civil society led political and legal strategies focused on decriminalization; strengthened democratic norms around equal participation in institutions and respect for minority rights;  provision of complementary legal strategies and strategic litigation to strengthen the success and longevity of judgments; </w:t>
      </w:r>
      <w:r>
        <w:rPr>
          <w:rFonts w:ascii="Times New Roman" w:eastAsia="Times New Roman" w:hAnsi="Times New Roman" w:cs="Times New Roman"/>
          <w:color w:val="000000" w:themeColor="text1"/>
          <w:sz w:val="24"/>
          <w:szCs w:val="24"/>
        </w:rPr>
        <w:t xml:space="preserve">strategies to support equitable family policies for LGBTQI+ people including ensuring freedom from discrimination regarding child custody for LGBTQI+ parents; </w:t>
      </w:r>
      <w:r w:rsidRPr="03CFC159">
        <w:rPr>
          <w:rFonts w:ascii="Times New Roman" w:eastAsia="Times New Roman" w:hAnsi="Times New Roman" w:cs="Times New Roman"/>
          <w:color w:val="000000" w:themeColor="text1"/>
          <w:sz w:val="24"/>
          <w:szCs w:val="24"/>
        </w:rPr>
        <w:t>enactment of laws or regulations supporting legal gender recognition based on self-determination; improved redress for grievances for LGBTQI+ persons; and, increased access to secure and competent legal services.</w:t>
      </w:r>
    </w:p>
    <w:p w14:paraId="6A4B9483"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708D47AB"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b/>
          <w:bCs/>
          <w:color w:val="000000" w:themeColor="text1"/>
          <w:sz w:val="24"/>
          <w:szCs w:val="24"/>
        </w:rPr>
        <w:t>Empowered &amp; Inclusive Movements &amp; Organizations:</w:t>
      </w:r>
      <w:r w:rsidRPr="521E77BD">
        <w:rPr>
          <w:rFonts w:ascii="Times New Roman" w:eastAsia="Times New Roman" w:hAnsi="Times New Roman" w:cs="Times New Roman"/>
          <w:color w:val="000000" w:themeColor="text1"/>
          <w:sz w:val="24"/>
          <w:szCs w:val="24"/>
        </w:rPr>
        <w:t xml:space="preserve"> The LGBTQI+ community –alongside other grassroots human rights movements –secure their fundamental rights of freedom of expression, association, and peaceful assembly. </w:t>
      </w:r>
    </w:p>
    <w:p w14:paraId="77036267"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57E31036"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 xml:space="preserve">Objectives may include, but are not limited to: increased ability to publicly and collectively express, communicate, and defend the common interests of LGBTQI+ communities at domestic and regional levels;  improved organizational capacity of LGBTQI+-led civil society organizations;  increased shared strategies and understanding within LGBTQI+ communities, especially strategies with an intersectional approach to LGBTQI+ rights;  increased engagement and collaboration between LGBTQI+ individuals and non-LGBTQI+ organizations to promote the human rights of LGBTQI+ people at domestic and regional levels; increased strategies for ensuring NGO registration; improved outreach and communication with broader human rights movements, allied communities and other key stakeholders;  strengthened movements and inclusive leadership that reflects the diversity of the communities, particularly transgender and intersex communities, as well as other marginalized persons within LGBTQI+ communities; strengthening and supporting lesbian and queer women’s leadership and meaningful participation in human rights practice and discourse; direct support such as subgrants or technical assistance to local, LGBTQI+-led human rights groups; increased development and use of evidence-based strategies;  strengthened well-being practices for all stakeholders, resulting in more resilient organizations and communities;  strengthened communication and messaging capability, </w:t>
      </w:r>
      <w:r w:rsidRPr="521E77BD">
        <w:rPr>
          <w:rFonts w:ascii="Times New Roman" w:eastAsia="Times New Roman" w:hAnsi="Times New Roman" w:cs="Times New Roman"/>
          <w:color w:val="000000" w:themeColor="text1"/>
          <w:sz w:val="24"/>
          <w:szCs w:val="24"/>
        </w:rPr>
        <w:lastRenderedPageBreak/>
        <w:t>including comprehensive communication strategies and campaign planning; and, strong and strategic financial and organizational management.  Inclusivity and intersectionality, as referenced here includes, but is not limited to, the diversity of LGBTQI+ communities on the basis of sexual orientation, gender identity or expression, sex characteristics along with age, class, disability, ethnicity, gender, immigration status, race, religion, and any other status.</w:t>
      </w:r>
    </w:p>
    <w:p w14:paraId="3CF1DF21"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2609C3F7"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b/>
          <w:bCs/>
          <w:color w:val="000000" w:themeColor="text1"/>
          <w:sz w:val="24"/>
          <w:szCs w:val="24"/>
        </w:rPr>
        <w:t>Social Inclusion:</w:t>
      </w:r>
      <w:r w:rsidRPr="03CFC159">
        <w:rPr>
          <w:rFonts w:ascii="Times New Roman" w:eastAsia="Times New Roman" w:hAnsi="Times New Roman" w:cs="Times New Roman"/>
          <w:color w:val="000000" w:themeColor="text1"/>
          <w:sz w:val="24"/>
          <w:szCs w:val="24"/>
        </w:rPr>
        <w:t xml:space="preserve"> The human dignity of LGBTQI+ persons is affirmed and protected, and the community is included in economic and human development as equal members of society in line with guidance such as the Sustainable Development Goals and the 2030 Agenda.</w:t>
      </w:r>
    </w:p>
    <w:p w14:paraId="5FAF9F7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6F847B2E"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213BF0EB">
        <w:rPr>
          <w:rFonts w:ascii="Times New Roman" w:eastAsia="Times New Roman" w:hAnsi="Times New Roman" w:cs="Times New Roman"/>
          <w:color w:val="000000" w:themeColor="text1"/>
          <w:sz w:val="24"/>
          <w:szCs w:val="24"/>
        </w:rPr>
        <w:t>Objectives may include, but are not limited to:  increased attention to the specific needs of LGBTQI+ people experiencing poverty and exclusion;  increased acceptance and tolerance of LGBTQI+ persons from family members, community leaders, and broader society;  support for the economic and social rights of LGBTQI+ persons;  improved representation of LGBTQI+ people in government institutions and policy-making bodies;  increased respectful and accurate media (social and traditional) reporting to increase awareness of the human rights of LGBTQI+ persons;  support for and improvement in visibility and empowerment of marginalized LGBTQI+ community members, including transgender, intersex, and gender diverse communities, and LGBTQI+ displaced persons;  improved inclusion of LGBTQI+ needs in critical services, particularly health care;  inclusion of LGBTQI+ people in public policy research, decision-making, and implementation; utilization of strategies to counter shrinking democratic spaces; and increased positive engagement with faith and business communities.</w:t>
      </w:r>
      <w:r>
        <w:rPr>
          <w:rFonts w:ascii="Times New Roman" w:eastAsia="Times New Roman" w:hAnsi="Times New Roman" w:cs="Times New Roman"/>
          <w:color w:val="000000" w:themeColor="text1"/>
          <w:sz w:val="24"/>
          <w:szCs w:val="24"/>
        </w:rPr>
        <w:t xml:space="preserve">  Inclusivity and intersectionality, as referenced here includes, but is not limited to, the diversity of LGBTQI+ communities on the basis of sexual orientation, gender identity or expression, sex characteristics along with age, class, disability, ethnicity, gender, immigration status, race, religion, and any other status.</w:t>
      </w:r>
    </w:p>
    <w:p w14:paraId="48767857"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03F3795A"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213BF0EB">
        <w:rPr>
          <w:rFonts w:ascii="Times New Roman" w:eastAsia="Times New Roman" w:hAnsi="Times New Roman" w:cs="Times New Roman"/>
          <w:color w:val="000000" w:themeColor="text1"/>
          <w:sz w:val="24"/>
          <w:szCs w:val="24"/>
        </w:rPr>
        <w:t xml:space="preserve">Other objectives that support the broad goals reflected above may also be considered. </w:t>
      </w:r>
    </w:p>
    <w:p w14:paraId="2E8319B5"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 </w:t>
      </w:r>
    </w:p>
    <w:p w14:paraId="767E0E71"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4FF60B1D">
        <w:rPr>
          <w:rFonts w:ascii="Times New Roman" w:eastAsia="Times New Roman" w:hAnsi="Times New Roman" w:cs="Times New Roman"/>
          <w:color w:val="000000" w:themeColor="text1"/>
          <w:sz w:val="24"/>
          <w:szCs w:val="24"/>
        </w:rPr>
        <w:t>Additionally, strong proposals are guided by the following cross-cutting values:</w:t>
      </w:r>
    </w:p>
    <w:p w14:paraId="5CFCEF26" w14:textId="77777777" w:rsidR="00D136A5" w:rsidRDefault="00D136A5" w:rsidP="00D136A5">
      <w:pPr>
        <w:spacing w:line="240" w:lineRule="auto"/>
        <w:rPr>
          <w:rFonts w:ascii="Times" w:eastAsia="Times" w:hAnsi="Times" w:cs="Times"/>
          <w:color w:val="000000" w:themeColor="text1"/>
          <w:sz w:val="24"/>
          <w:szCs w:val="24"/>
        </w:rPr>
      </w:pPr>
      <w:r w:rsidRPr="521E77BD">
        <w:rPr>
          <w:rFonts w:ascii="Times New Roman" w:eastAsia="Times New Roman" w:hAnsi="Times New Roman" w:cs="Times New Roman"/>
          <w:b/>
          <w:bCs/>
          <w:color w:val="000000" w:themeColor="text1"/>
          <w:sz w:val="24"/>
          <w:szCs w:val="24"/>
        </w:rPr>
        <w:t>COVID-19 Response:</w:t>
      </w:r>
      <w:r w:rsidRPr="521E77BD">
        <w:rPr>
          <w:rFonts w:ascii="Times New Roman" w:eastAsia="Times New Roman" w:hAnsi="Times New Roman" w:cs="Times New Roman"/>
          <w:color w:val="000000" w:themeColor="text1"/>
          <w:sz w:val="24"/>
          <w:szCs w:val="24"/>
        </w:rPr>
        <w:t xml:space="preserve"> </w:t>
      </w:r>
      <w:r w:rsidRPr="521E77BD">
        <w:rPr>
          <w:rFonts w:ascii="Times" w:eastAsia="Times" w:hAnsi="Times" w:cs="Times"/>
          <w:color w:val="000000" w:themeColor="text1"/>
          <w:sz w:val="24"/>
          <w:szCs w:val="24"/>
        </w:rPr>
        <w:t>The COVID-19 pandemic has negatively impacted the health and well-being of LGBTQI+ persons and created new challenges for advancing the human rights of LGBTQI+ persons and individuals from other marginalized populations, including older persons, women, persons with disabilities, and certain ethnic and racial communities.  Proposals should identify relevant concerns and provide information about plans to address the impact of the COVID-19 pandemic on LGBTQI+ persons and people of other marginalized communities, particularly those who experience multiple forms of marginalization at the intersection of these identities.  Proposals may take a creative and flexible approach to addressing programming in this evolving situation.</w:t>
      </w:r>
    </w:p>
    <w:p w14:paraId="6E6F666F"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lastRenderedPageBreak/>
        <w:t xml:space="preserve"> </w:t>
      </w:r>
    </w:p>
    <w:p w14:paraId="42B9A42A" w14:textId="77777777" w:rsidR="00D136A5" w:rsidRDefault="00D136A5" w:rsidP="00D136A5">
      <w:pPr>
        <w:spacing w:line="240" w:lineRule="auto"/>
        <w:rPr>
          <w:rFonts w:ascii="Times" w:eastAsia="Times" w:hAnsi="Times" w:cs="Times"/>
          <w:color w:val="000000" w:themeColor="text1"/>
          <w:sz w:val="24"/>
          <w:szCs w:val="24"/>
        </w:rPr>
      </w:pPr>
      <w:r w:rsidRPr="213BF0EB">
        <w:rPr>
          <w:rFonts w:ascii="Times New Roman" w:eastAsia="Times New Roman" w:hAnsi="Times New Roman" w:cs="Times New Roman"/>
          <w:b/>
          <w:bCs/>
          <w:color w:val="000000" w:themeColor="text1"/>
          <w:sz w:val="24"/>
          <w:szCs w:val="24"/>
        </w:rPr>
        <w:t>Gender and Inclusion Analysis:</w:t>
      </w:r>
      <w:r w:rsidRPr="213BF0EB">
        <w:rPr>
          <w:rFonts w:ascii="Times New Roman" w:eastAsia="Times New Roman" w:hAnsi="Times New Roman" w:cs="Times New Roman"/>
          <w:color w:val="000000" w:themeColor="text1"/>
          <w:sz w:val="24"/>
          <w:szCs w:val="24"/>
        </w:rPr>
        <w:t xml:space="preserve"> </w:t>
      </w:r>
      <w:r w:rsidRPr="213BF0EB">
        <w:rPr>
          <w:rFonts w:ascii="Times" w:eastAsia="Times" w:hAnsi="Times" w:cs="Times"/>
          <w:color w:val="000000" w:themeColor="text1"/>
          <w:sz w:val="24"/>
          <w:szCs w:val="24"/>
        </w:rPr>
        <w:t xml:space="preserve"> In line with several Executive Orders of the Biden Administration and the policy developed by the Gender Policy Council, it is a U.S. government-wide priority to expand and apply gender and inclusion analysis to improve the design and implementation of U.S. government-funded programs and </w:t>
      </w:r>
      <w:r w:rsidRPr="213BF0EB">
        <w:rPr>
          <w:rFonts w:ascii="Times New Roman" w:eastAsia="Times New Roman" w:hAnsi="Times New Roman" w:cs="Times New Roman"/>
          <w:color w:val="252525"/>
          <w:sz w:val="24"/>
          <w:szCs w:val="24"/>
        </w:rPr>
        <w:t>provide a concise analysis of relevant gender norm</w:t>
      </w:r>
      <w:r w:rsidRPr="213BF0EB">
        <w:rPr>
          <w:rFonts w:ascii="Times New Roman" w:eastAsia="Times New Roman" w:hAnsi="Times New Roman" w:cs="Times New Roman"/>
          <w:color w:val="auto"/>
          <w:sz w:val="24"/>
          <w:szCs w:val="24"/>
        </w:rPr>
        <w:t>s, equity and equality for underserved communities and marginalized populations,</w:t>
      </w:r>
      <w:r w:rsidRPr="213BF0EB">
        <w:rPr>
          <w:rFonts w:ascii="Times New Roman" w:eastAsia="Times New Roman" w:hAnsi="Times New Roman" w:cs="Times New Roman"/>
          <w:color w:val="252525"/>
          <w:sz w:val="24"/>
          <w:szCs w:val="24"/>
        </w:rPr>
        <w:t xml:space="preserve"> power relations, and conflict dynamics in target countries.</w:t>
      </w:r>
      <w:r w:rsidRPr="213BF0EB">
        <w:rPr>
          <w:rFonts w:ascii="Times" w:eastAsia="Times" w:hAnsi="Times" w:cs="Times"/>
          <w:color w:val="000000" w:themeColor="text1"/>
          <w:sz w:val="24"/>
          <w:szCs w:val="24"/>
        </w:rPr>
        <w:t xml:space="preserve"> DRL encourages organizations to tailor programing 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in the program budget, design, and implementation. Programs should have strong support from and participation by </w:t>
      </w:r>
      <w:r>
        <w:rPr>
          <w:rFonts w:ascii="Times" w:eastAsia="Times" w:hAnsi="Times" w:cs="Times"/>
          <w:color w:val="000000" w:themeColor="text1"/>
          <w:sz w:val="24"/>
          <w:szCs w:val="24"/>
        </w:rPr>
        <w:t xml:space="preserve">lesbian and bisexual </w:t>
      </w:r>
      <w:r w:rsidRPr="213BF0EB">
        <w:rPr>
          <w:rFonts w:ascii="Times" w:eastAsia="Times" w:hAnsi="Times" w:cs="Times"/>
          <w:color w:val="000000" w:themeColor="text1"/>
          <w:sz w:val="24"/>
          <w:szCs w:val="24"/>
        </w:rPr>
        <w:t>women, transgender and intersex individuals, and other gender diverse persons and should support development of the leadership and capacity of these communities.</w:t>
      </w:r>
    </w:p>
    <w:p w14:paraId="66DBB234"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 </w:t>
      </w:r>
    </w:p>
    <w:p w14:paraId="155051A8" w14:textId="77777777" w:rsidR="00D136A5" w:rsidRDefault="00D136A5" w:rsidP="00D136A5">
      <w:pPr>
        <w:spacing w:line="240" w:lineRule="auto"/>
        <w:rPr>
          <w:rFonts w:ascii="Times New Roman" w:eastAsia="Times New Roman" w:hAnsi="Times New Roman" w:cs="Times New Roman"/>
          <w:color w:val="auto"/>
          <w:sz w:val="24"/>
          <w:szCs w:val="24"/>
        </w:rPr>
      </w:pPr>
      <w:r w:rsidRPr="521E77BD">
        <w:rPr>
          <w:rFonts w:ascii="Times New Roman" w:eastAsia="Times New Roman" w:hAnsi="Times New Roman" w:cs="Times New Roman"/>
          <w:b/>
          <w:bCs/>
          <w:color w:val="auto"/>
          <w:sz w:val="24"/>
          <w:szCs w:val="24"/>
        </w:rPr>
        <w:t>LGBTQI+-Organizations:</w:t>
      </w:r>
      <w:r w:rsidRPr="521E77BD">
        <w:rPr>
          <w:rFonts w:ascii="Times New Roman" w:eastAsia="Times New Roman" w:hAnsi="Times New Roman" w:cs="Times New Roman"/>
          <w:color w:val="auto"/>
          <w:sz w:val="24"/>
          <w:szCs w:val="24"/>
        </w:rPr>
        <w:t xml:space="preserve">  “Nothing about us without us.”  Programs should be led by, or have strong support from and participation by, LGBTQI+ organizations and communities.  Proposals should also substantively involve local organizations, focus on activities at the local and community level, and include grants or sub-grants to local organizations. Program proposals should address and support the specific needs of lesbians, bisexual people, transgender people, gender non-conforming people, intersex people, and the overall diversity of identities. Proposals </w:t>
      </w:r>
      <w:r w:rsidRPr="521E77BD">
        <w:rPr>
          <w:rFonts w:ascii="Times New Roman" w:eastAsia="Times New Roman" w:hAnsi="Times New Roman" w:cs="Times New Roman"/>
          <w:b/>
          <w:bCs/>
          <w:color w:val="auto"/>
          <w:sz w:val="24"/>
          <w:szCs w:val="24"/>
        </w:rPr>
        <w:t>should include sub-granting mechanisms that provide, at minimum, 30% of total direct costs to LGBTQI+-led organizations</w:t>
      </w:r>
      <w:r w:rsidRPr="521E77BD">
        <w:rPr>
          <w:rFonts w:ascii="Times New Roman" w:eastAsia="Times New Roman" w:hAnsi="Times New Roman" w:cs="Times New Roman"/>
          <w:color w:val="auto"/>
          <w:sz w:val="24"/>
          <w:szCs w:val="24"/>
        </w:rPr>
        <w:t>.</w:t>
      </w:r>
    </w:p>
    <w:p w14:paraId="4559489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 </w:t>
      </w:r>
    </w:p>
    <w:p w14:paraId="0D418E70"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b/>
          <w:bCs/>
          <w:color w:val="000000" w:themeColor="text1"/>
          <w:sz w:val="24"/>
          <w:szCs w:val="24"/>
        </w:rPr>
        <w:t>Organizational Development and Capacity:</w:t>
      </w:r>
      <w:r w:rsidRPr="521E77BD">
        <w:rPr>
          <w:rFonts w:ascii="Times New Roman" w:eastAsia="Times New Roman" w:hAnsi="Times New Roman" w:cs="Times New Roman"/>
          <w:color w:val="000000" w:themeColor="text1"/>
          <w:sz w:val="24"/>
          <w:szCs w:val="24"/>
        </w:rPr>
        <w:t xml:space="preserve"> With the aim of creating and broadening access to marginalized populations, projects should focus on increased capacity of organizations to develop and implement strategic plans, work plans, budgets, communication strategies, risk assessments, security plans and increased capacity of organizations to mobilize community members and build diversely inclusive constituencies.  Proposals must provide appropriate resources and support for the psychosocial health of staff and direct beneficiaries, which must be reflected in a narrative section in proposed activities and in the proposed budget to address relevant costs for these resources and support. Activities may range from access to educational materials and training opportunities to counseling services or other contextually relevant support.</w:t>
      </w:r>
    </w:p>
    <w:p w14:paraId="2702152A"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15F2A1C2"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is committed to advancing equity and support for underserved and underrepresented communities. Programs should take an intersectional approach and seek strategies for integration and inclusion of individuals/organizations/beneficiaries that can bring perspectives based on their religion, sex, </w:t>
      </w:r>
      <w:r w:rsidRPr="521E77BD">
        <w:rPr>
          <w:rFonts w:ascii="Times New Roman" w:eastAsia="Times New Roman" w:hAnsi="Times New Roman" w:cs="Times New Roman"/>
          <w:color w:val="000000" w:themeColor="text1"/>
          <w:sz w:val="24"/>
          <w:szCs w:val="24"/>
        </w:rPr>
        <w:lastRenderedPageBreak/>
        <w:t>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w:t>
      </w:r>
    </w:p>
    <w:p w14:paraId="18345D7B" w14:textId="77777777" w:rsidR="00D136A5" w:rsidRDefault="00D136A5" w:rsidP="00D136A5">
      <w:pPr>
        <w:spacing w:beforeAutospacing="1" w:afterAutospacing="1"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 xml:space="preserve">A proven ability to implement programs in target countries must be demonstrated.  As part of the proposal narrative, or as an annex to the proposal submission, applicants are </w:t>
      </w:r>
      <w:r w:rsidRPr="521E77BD">
        <w:rPr>
          <w:rFonts w:ascii="Times New Roman" w:eastAsia="Times New Roman" w:hAnsi="Times New Roman" w:cs="Times New Roman"/>
          <w:color w:val="000000" w:themeColor="text1"/>
          <w:sz w:val="24"/>
          <w:szCs w:val="24"/>
          <w:u w:val="single"/>
        </w:rPr>
        <w:t>required</w:t>
      </w:r>
      <w:r w:rsidRPr="521E77BD">
        <w:rPr>
          <w:rFonts w:ascii="Times New Roman" w:eastAsia="Times New Roman" w:hAnsi="Times New Roman" w:cs="Times New Roman"/>
          <w:color w:val="000000" w:themeColor="text1"/>
          <w:sz w:val="24"/>
          <w:szCs w:val="24"/>
        </w:rPr>
        <w:t xml:space="preserve"> to submit lessons learned from past programming in-country, or similar contexts, that demonstrate how the implementer has safely operated and responded to challenges, learning from both successes and failures, in the operating environment.</w:t>
      </w:r>
    </w:p>
    <w:p w14:paraId="2BF2EE88" w14:textId="77777777" w:rsidR="00D136A5" w:rsidRDefault="00D136A5" w:rsidP="00D136A5">
      <w:pPr>
        <w:spacing w:beforeAutospacing="1" w:afterAutospacing="1" w:line="240" w:lineRule="auto"/>
        <w:rPr>
          <w:rFonts w:ascii="Times New Roman" w:eastAsia="Times New Roman" w:hAnsi="Times New Roman" w:cs="Times New Roman"/>
          <w:color w:val="000000" w:themeColor="text1"/>
          <w:sz w:val="24"/>
          <w:szCs w:val="24"/>
        </w:rPr>
      </w:pPr>
    </w:p>
    <w:p w14:paraId="21B5AFC0" w14:textId="77777777" w:rsidR="00D136A5" w:rsidRDefault="00D136A5" w:rsidP="00D136A5">
      <w:pPr>
        <w:spacing w:beforeAutospacing="1" w:afterAutospacing="1" w:line="240" w:lineRule="auto"/>
        <w:rPr>
          <w:rFonts w:ascii="Times New Roman" w:eastAsia="Times New Roman" w:hAnsi="Times New Roman" w:cs="Times New Roman"/>
          <w:color w:val="000000" w:themeColor="text1"/>
          <w:sz w:val="24"/>
          <w:szCs w:val="24"/>
        </w:rPr>
      </w:pPr>
      <w:r w:rsidRPr="521E77BD">
        <w:rPr>
          <w:rFonts w:ascii="Times New Roman" w:eastAsia="Times New Roman" w:hAnsi="Times New Roman" w:cs="Times New Roman"/>
          <w:color w:val="000000" w:themeColor="text1"/>
          <w:sz w:val="24"/>
          <w:szCs w:val="24"/>
        </w:rPr>
        <w:t>DRL is conscious of the ever-changing security situation in which civil society organizations working on these issues operate.  With this in mind, applicants are required to submit a detailed contingency plan and risk assessment in order to demonstrate situational awareness and preparedness.  Risk assessment and contingency plan documents must address safety for in-person events and recruitment for said events; processes for receiving and disbursing funds; as well as means to secure online programs or communications.</w:t>
      </w:r>
    </w:p>
    <w:p w14:paraId="52241225" w14:textId="77777777" w:rsidR="00D136A5" w:rsidRPr="00AD63C9" w:rsidRDefault="00D136A5" w:rsidP="00D136A5">
      <w:pPr>
        <w:pStyle w:val="NormalWeb"/>
        <w:ind w:firstLine="0"/>
        <w:rPr>
          <w:color w:val="000000" w:themeColor="text1"/>
        </w:rPr>
      </w:pPr>
      <w:r w:rsidRPr="47B14830">
        <w:rPr>
          <w:color w:val="000000" w:themeColor="text1"/>
        </w:rPr>
        <w:t xml:space="preserve">Where appropriate, competitive proposals may include: </w:t>
      </w:r>
    </w:p>
    <w:p w14:paraId="4CD8F486" w14:textId="77777777" w:rsidR="00D136A5" w:rsidRDefault="00D136A5" w:rsidP="00D136A5">
      <w:pPr>
        <w:pStyle w:val="NormalWeb"/>
        <w:numPr>
          <w:ilvl w:val="0"/>
          <w:numId w:val="34"/>
        </w:numPr>
        <w:rPr>
          <w:color w:val="000000" w:themeColor="text1"/>
        </w:rPr>
      </w:pPr>
      <w:r w:rsidRPr="213BF0EB">
        <w:rPr>
          <w:color w:val="000000" w:themeColor="text1"/>
        </w:rPr>
        <w:t>Opportunities for beneficiaries to apply their new knowledge and skills in practical efforts;</w:t>
      </w:r>
    </w:p>
    <w:p w14:paraId="3A29A5C7" w14:textId="77777777" w:rsidR="00D136A5" w:rsidRDefault="00D136A5" w:rsidP="00D136A5">
      <w:pPr>
        <w:pStyle w:val="NormalWeb"/>
        <w:numPr>
          <w:ilvl w:val="0"/>
          <w:numId w:val="34"/>
        </w:numPr>
        <w:rPr>
          <w:color w:val="000000" w:themeColor="text1"/>
        </w:rPr>
      </w:pPr>
      <w:r w:rsidRPr="4FF60B1D">
        <w:rPr>
          <w:color w:val="000000" w:themeColor="text1"/>
        </w:rPr>
        <w:t>Solicitation of feedback and suggestions from beneficiaries when developing activities in order to strengthen the sustainability of programs and participant ownership of project outcomes;</w:t>
      </w:r>
    </w:p>
    <w:p w14:paraId="6AC988C0" w14:textId="77777777" w:rsidR="00D136A5" w:rsidRDefault="00D136A5" w:rsidP="00D136A5">
      <w:pPr>
        <w:pStyle w:val="NormalWeb"/>
        <w:numPr>
          <w:ilvl w:val="0"/>
          <w:numId w:val="34"/>
        </w:numPr>
        <w:rPr>
          <w:color w:val="000000" w:themeColor="text1"/>
        </w:rPr>
      </w:pPr>
      <w:r w:rsidRPr="4FF60B1D">
        <w:rPr>
          <w:color w:val="000000" w:themeColor="text1"/>
        </w:rPr>
        <w:t>Input from participants on sustainability plans and systematic review of the plans throughout the life of the project, with adjustments made as necessary;</w:t>
      </w:r>
    </w:p>
    <w:p w14:paraId="50901633" w14:textId="77777777" w:rsidR="00D136A5" w:rsidRDefault="00D136A5" w:rsidP="00D136A5">
      <w:pPr>
        <w:pStyle w:val="NormalWeb"/>
        <w:numPr>
          <w:ilvl w:val="0"/>
          <w:numId w:val="33"/>
        </w:numPr>
        <w:rPr>
          <w:color w:val="000000" w:themeColor="text1"/>
        </w:rPr>
      </w:pPr>
      <w:r w:rsidRPr="47B14830">
        <w:rPr>
          <w:color w:val="000000" w:themeColor="text1"/>
        </w:rPr>
        <w:t>Inclusion of vulnerable populations;  </w:t>
      </w:r>
    </w:p>
    <w:p w14:paraId="42B08475" w14:textId="77777777" w:rsidR="00D136A5" w:rsidRDefault="00D136A5" w:rsidP="00D136A5">
      <w:pPr>
        <w:pStyle w:val="NormalWeb"/>
        <w:numPr>
          <w:ilvl w:val="0"/>
          <w:numId w:val="33"/>
        </w:numPr>
        <w:rPr>
          <w:color w:val="000000" w:themeColor="text1"/>
        </w:rPr>
      </w:pPr>
      <w:r w:rsidRPr="4FF60B1D">
        <w:rPr>
          <w:color w:val="000000" w:themeColor="text1"/>
        </w:rPr>
        <w:t>Joint identification and definition of key concepts with relevant stakeholders and stakeholder input into project activities; and,</w:t>
      </w:r>
    </w:p>
    <w:p w14:paraId="08D665DB" w14:textId="77777777" w:rsidR="00D136A5" w:rsidRDefault="00D136A5" w:rsidP="00D136A5">
      <w:pPr>
        <w:pStyle w:val="NormalWeb"/>
        <w:numPr>
          <w:ilvl w:val="0"/>
          <w:numId w:val="33"/>
        </w:numPr>
        <w:rPr>
          <w:color w:val="000000" w:themeColor="text1"/>
        </w:rPr>
      </w:pPr>
      <w:r w:rsidRPr="4FF60B1D">
        <w:rPr>
          <w:color w:val="000000" w:themeColor="text1"/>
        </w:rPr>
        <w:t>Systematic follow up with beneficiaries at specific intervals after the completion of activities to track how beneficiaries are retaining new knowledge as well as applying their new skills.</w:t>
      </w:r>
    </w:p>
    <w:p w14:paraId="240E44DF" w14:textId="77777777" w:rsidR="00D136A5" w:rsidRDefault="00D136A5" w:rsidP="00D136A5">
      <w:pPr>
        <w:spacing w:line="240" w:lineRule="auto"/>
        <w:rPr>
          <w:rFonts w:ascii="Times New Roman" w:eastAsia="Times New Roman" w:hAnsi="Times New Roman" w:cs="Times New Roman"/>
          <w:color w:val="000000" w:themeColor="text1"/>
          <w:sz w:val="24"/>
          <w:szCs w:val="24"/>
        </w:rPr>
      </w:pPr>
    </w:p>
    <w:p w14:paraId="5274EF56" w14:textId="77777777" w:rsidR="00D136A5" w:rsidRDefault="00D136A5" w:rsidP="00D136A5">
      <w:pPr>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Activities that are </w:t>
      </w:r>
      <w:r w:rsidRPr="03CFC159">
        <w:rPr>
          <w:rFonts w:ascii="Times New Roman" w:eastAsia="Times New Roman" w:hAnsi="Times New Roman" w:cs="Times New Roman"/>
          <w:b/>
          <w:bCs/>
          <w:color w:val="000000" w:themeColor="text1"/>
          <w:sz w:val="24"/>
          <w:szCs w:val="24"/>
        </w:rPr>
        <w:t>not</w:t>
      </w:r>
      <w:r w:rsidRPr="03CFC159">
        <w:rPr>
          <w:rFonts w:ascii="Times New Roman" w:eastAsia="Times New Roman" w:hAnsi="Times New Roman" w:cs="Times New Roman"/>
          <w:color w:val="000000" w:themeColor="text1"/>
          <w:sz w:val="24"/>
          <w:szCs w:val="24"/>
        </w:rPr>
        <w:t xml:space="preserve"> typically allowed include, but are not limited to: </w:t>
      </w:r>
    </w:p>
    <w:p w14:paraId="6B0E854A" w14:textId="77777777" w:rsidR="00D136A5" w:rsidRDefault="00D136A5" w:rsidP="00D136A5">
      <w:pPr>
        <w:pStyle w:val="ListParagraph"/>
        <w:numPr>
          <w:ilvl w:val="0"/>
          <w:numId w:val="35"/>
        </w:num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The provision of humanitarian assistance;</w:t>
      </w:r>
    </w:p>
    <w:p w14:paraId="271C59ED" w14:textId="77777777" w:rsidR="00D136A5" w:rsidRDefault="00D136A5" w:rsidP="00D136A5">
      <w:pPr>
        <w:pStyle w:val="ListParagraph"/>
        <w:numPr>
          <w:ilvl w:val="0"/>
          <w:numId w:val="35"/>
        </w:num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lastRenderedPageBreak/>
        <w:t>English language instruction;</w:t>
      </w:r>
    </w:p>
    <w:p w14:paraId="05B29E43" w14:textId="77777777" w:rsidR="00D136A5" w:rsidRDefault="00D136A5" w:rsidP="00D136A5">
      <w:pPr>
        <w:pStyle w:val="ListParagraph"/>
        <w:numPr>
          <w:ilvl w:val="0"/>
          <w:numId w:val="35"/>
        </w:num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Development of high-tech computer or communications software and/or hardware; </w:t>
      </w:r>
    </w:p>
    <w:p w14:paraId="306E168E" w14:textId="77777777" w:rsidR="00D136A5" w:rsidRDefault="00D136A5" w:rsidP="00D136A5">
      <w:pPr>
        <w:pStyle w:val="ListParagraph"/>
        <w:numPr>
          <w:ilvl w:val="0"/>
          <w:numId w:val="35"/>
        </w:num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Purely academic exchanges or fellowships; </w:t>
      </w:r>
    </w:p>
    <w:p w14:paraId="0A64117E" w14:textId="77777777" w:rsidR="00D136A5" w:rsidRDefault="00D136A5" w:rsidP="00D136A5">
      <w:pPr>
        <w:pStyle w:val="ListParagraph"/>
        <w:numPr>
          <w:ilvl w:val="0"/>
          <w:numId w:val="35"/>
        </w:num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External exchanges or fellowships lasting longer than six months; </w:t>
      </w:r>
    </w:p>
    <w:p w14:paraId="3BFFC253" w14:textId="77777777" w:rsidR="00D136A5" w:rsidRDefault="00D136A5" w:rsidP="00D136A5">
      <w:pPr>
        <w:pStyle w:val="ListParagraph"/>
        <w:numPr>
          <w:ilvl w:val="0"/>
          <w:numId w:val="35"/>
        </w:numPr>
        <w:tabs>
          <w:tab w:val="left" w:pos="72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Off-shore activities that are not clearly linked to in-country initiatives and impact or are not necessary per security concerns;</w:t>
      </w:r>
    </w:p>
    <w:p w14:paraId="5DCEC2CB" w14:textId="77777777" w:rsidR="00D136A5" w:rsidRDefault="00D136A5" w:rsidP="00D136A5">
      <w:pPr>
        <w:pStyle w:val="ListParagraph"/>
        <w:numPr>
          <w:ilvl w:val="0"/>
          <w:numId w:val="35"/>
        </w:numPr>
        <w:tabs>
          <w:tab w:val="left" w:pos="72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 xml:space="preserve">Theoretical explorations of human rights or democracy issues, including projects aimed primarily at research and evaluation that do not incorporate training or capacity-building for local civil society; </w:t>
      </w:r>
    </w:p>
    <w:p w14:paraId="6013BB03" w14:textId="77777777" w:rsidR="00D136A5" w:rsidRDefault="00D136A5" w:rsidP="00D136A5">
      <w:pPr>
        <w:pStyle w:val="ListParagraph"/>
        <w:numPr>
          <w:ilvl w:val="0"/>
          <w:numId w:val="35"/>
        </w:numPr>
        <w:tabs>
          <w:tab w:val="left" w:pos="72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color w:val="000000" w:themeColor="text1"/>
          <w:sz w:val="24"/>
          <w:szCs w:val="24"/>
        </w:rPr>
        <w:t>Micro-loans or similar small business development initiatives;</w:t>
      </w:r>
    </w:p>
    <w:p w14:paraId="71EA7C50" w14:textId="43249CF8" w:rsidR="00D136A5" w:rsidRPr="00D136A5" w:rsidRDefault="00D136A5" w:rsidP="00D136A5">
      <w:pPr>
        <w:pStyle w:val="ListParagraph"/>
        <w:numPr>
          <w:ilvl w:val="0"/>
          <w:numId w:val="35"/>
        </w:numPr>
        <w:tabs>
          <w:tab w:val="left" w:pos="720"/>
        </w:tabs>
        <w:spacing w:line="240" w:lineRule="auto"/>
        <w:rPr>
          <w:rFonts w:ascii="Times New Roman" w:eastAsia="Times New Roman" w:hAnsi="Times New Roman" w:cs="Times New Roman"/>
          <w:color w:val="000000" w:themeColor="text1"/>
          <w:sz w:val="24"/>
          <w:szCs w:val="24"/>
        </w:rPr>
      </w:pPr>
      <w:r w:rsidRPr="4FF60B1D">
        <w:rPr>
          <w:rFonts w:ascii="Times New Roman" w:eastAsia="Times New Roman" w:hAnsi="Times New Roman" w:cs="Times New Roman"/>
          <w:color w:val="000000" w:themeColor="text1"/>
          <w:sz w:val="24"/>
          <w:szCs w:val="24"/>
        </w:rPr>
        <w:t>Initiatives directed towards a diaspora community rather than current residents of targeted countries.</w:t>
      </w:r>
    </w:p>
    <w:p w14:paraId="4BB00D29" w14:textId="77777777" w:rsidR="00D136A5" w:rsidRDefault="00D136A5" w:rsidP="00D136A5">
      <w:pPr>
        <w:tabs>
          <w:tab w:val="left" w:pos="360"/>
        </w:tabs>
        <w:spacing w:line="240" w:lineRule="auto"/>
        <w:rPr>
          <w:rFonts w:ascii="Times New Roman" w:eastAsia="Times New Roman" w:hAnsi="Times New Roman" w:cs="Times New Roman"/>
          <w:color w:val="000000" w:themeColor="text1"/>
          <w:sz w:val="24"/>
          <w:szCs w:val="24"/>
        </w:rPr>
      </w:pPr>
      <w:r w:rsidRPr="03CFC159">
        <w:rPr>
          <w:rFonts w:ascii="Times New Roman" w:eastAsia="Times New Roman" w:hAnsi="Times New Roman" w:cs="Times New Roman"/>
          <w:b/>
          <w:bCs/>
          <w:color w:val="000000" w:themeColor="text1"/>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0C196404"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071CE" w:rsidRPr="00A071CE">
        <w:rPr>
          <w:rFonts w:ascii="Times New Roman" w:eastAsia="Times New Roman" w:hAnsi="Times New Roman" w:cs="Times New Roman"/>
          <w:sz w:val="24"/>
          <w:szCs w:val="24"/>
        </w:rPr>
        <w:t xml:space="preserve">1 </w:t>
      </w:r>
      <w:r w:rsidR="00401EC8" w:rsidRPr="00A071CE">
        <w:rPr>
          <w:rFonts w:ascii="Times New Roman" w:eastAsia="Times New Roman" w:hAnsi="Times New Roman" w:cs="Times New Roman"/>
          <w:sz w:val="24"/>
          <w:szCs w:val="24"/>
        </w:rPr>
        <w:t>applicatio</w:t>
      </w:r>
      <w:r w:rsidR="00A071CE" w:rsidRPr="00A071CE">
        <w:rPr>
          <w:rFonts w:ascii="Times New Roman" w:eastAsia="Times New Roman" w:hAnsi="Times New Roman" w:cs="Times New Roman"/>
          <w:sz w:val="24"/>
          <w:szCs w:val="24"/>
        </w:rPr>
        <w:t>n</w:t>
      </w:r>
      <w:r w:rsidR="00401EC8" w:rsidRPr="00A071CE">
        <w:rPr>
          <w:rFonts w:ascii="Times New Roman" w:eastAsia="Times New Roman" w:hAnsi="Times New Roman" w:cs="Times New Roman"/>
          <w:sz w:val="24"/>
          <w:szCs w:val="24"/>
        </w:rPr>
        <w:t xml:space="preserve"> in response</w:t>
      </w:r>
      <w:r w:rsidR="00401EC8">
        <w:rPr>
          <w:rFonts w:ascii="Times New Roman" w:eastAsia="Times New Roman" w:hAnsi="Times New Roman" w:cs="Times New Roman"/>
          <w:sz w:val="24"/>
          <w:szCs w:val="24"/>
        </w:rPr>
        <w:t xml:space="preserve"> to the </w:t>
      </w:r>
      <w:r>
        <w:rPr>
          <w:rFonts w:ascii="Times New Roman" w:eastAsia="Times New Roman" w:hAnsi="Times New Roman" w:cs="Times New Roman"/>
          <w:sz w:val="24"/>
          <w:szCs w:val="24"/>
        </w:rPr>
        <w:t xml:space="preserve">NOFO.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D4D2E7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D01799">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w:t>
      </w:r>
      <w:r>
        <w:rPr>
          <w:rFonts w:ascii="Times New Roman" w:eastAsia="Times New Roman" w:hAnsi="Times New Roman" w:cs="Times New Roman"/>
          <w:sz w:val="24"/>
          <w:szCs w:val="24"/>
        </w:rPr>
        <w:lastRenderedPageBreak/>
        <w:t xml:space="preserve">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EC41434"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970F7D" w:rsidRPr="521E77BD">
        <w:rPr>
          <w:rFonts w:ascii="Times New Roman" w:eastAsia="Times New Roman" w:hAnsi="Times New Roman" w:cs="Times New Roman"/>
          <w:color w:val="000000" w:themeColor="text1"/>
          <w:sz w:val="24"/>
          <w:szCs w:val="24"/>
        </w:rPr>
        <w:t>DRL FY</w:t>
      </w:r>
      <w:r w:rsidR="00E10B16">
        <w:rPr>
          <w:rFonts w:ascii="Times New Roman" w:eastAsia="Times New Roman" w:hAnsi="Times New Roman" w:cs="Times New Roman"/>
          <w:color w:val="000000" w:themeColor="text1"/>
          <w:sz w:val="24"/>
          <w:szCs w:val="24"/>
        </w:rPr>
        <w:t>20</w:t>
      </w:r>
      <w:r w:rsidR="00970F7D" w:rsidRPr="521E77BD">
        <w:rPr>
          <w:rFonts w:ascii="Times New Roman" w:eastAsia="Times New Roman" w:hAnsi="Times New Roman" w:cs="Times New Roman"/>
          <w:color w:val="000000" w:themeColor="text1"/>
          <w:sz w:val="24"/>
          <w:szCs w:val="24"/>
        </w:rPr>
        <w:t xml:space="preserve">21: Global Equality Fund LGBTQI+ Programs in </w:t>
      </w:r>
      <w:r w:rsidR="00970F7D" w:rsidRPr="521E77BD">
        <w:rPr>
          <w:rFonts w:ascii="Times New Roman" w:hAnsi="Times New Roman"/>
          <w:sz w:val="24"/>
          <w:szCs w:val="24"/>
        </w:rPr>
        <w:t>West Africa, Central Africa, the Middle East and North Africa, South and Central Asia, and East Asia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A51108" w:rsidRPr="00A51108">
        <w:rPr>
          <w:rFonts w:ascii="Times New Roman" w:eastAsia="Times New Roman" w:hAnsi="Times New Roman" w:cs="Times New Roman"/>
          <w:sz w:val="24"/>
          <w:szCs w:val="24"/>
        </w:rPr>
        <w:t>SFOP0008500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sidR="006967E5" w:rsidRPr="006967E5">
        <w:rPr>
          <w:rFonts w:ascii="Times New Roman" w:eastAsia="Times New Roman" w:hAnsi="Times New Roman" w:cs="Times New Roman"/>
          <w:b/>
          <w:bCs/>
          <w:sz w:val="24"/>
          <w:szCs w:val="24"/>
        </w:rPr>
        <w:t xml:space="preserve">Although solicitation details will be available via SAMS Domestic, please note that all applications in response to this NOFO must be submitted via </w:t>
      </w:r>
      <w:hyperlink r:id="rId12" w:history="1">
        <w:r w:rsidR="006967E5" w:rsidRPr="006967E5">
          <w:rPr>
            <w:rStyle w:val="Hyperlink"/>
            <w:rFonts w:ascii="Times New Roman" w:eastAsia="Times New Roman" w:hAnsi="Times New Roman" w:cs="Times New Roman"/>
            <w:b/>
            <w:bCs/>
            <w:sz w:val="24"/>
            <w:szCs w:val="24"/>
          </w:rPr>
          <w:t>www.grants.gov</w:t>
        </w:r>
      </w:hyperlink>
      <w:r w:rsidR="006967E5" w:rsidRPr="006967E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w:t>
      </w:r>
      <w:r w:rsidRPr="00B12CD2">
        <w:rPr>
          <w:rFonts w:ascii="Times New Roman" w:eastAsia="Times New Roman" w:hAnsi="Times New Roman" w:cs="Times New Roman"/>
          <w:sz w:val="24"/>
          <w:szCs w:val="24"/>
        </w:rPr>
        <w:lastRenderedPageBreak/>
        <w:t xml:space="preserve">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7F3EA056" w:rsidR="00384747" w:rsidRDefault="00384747" w:rsidP="008D3BDB">
      <w:pPr>
        <w:pStyle w:val="NoSpacing"/>
        <w:ind w:left="720"/>
        <w:rPr>
          <w:rFonts w:ascii="Times New Roman" w:eastAsia="Times New Roman" w:hAnsi="Times New Roman" w:cs="Times New Roman"/>
          <w:sz w:val="24"/>
          <w:szCs w:val="24"/>
        </w:rPr>
      </w:pPr>
      <w:r w:rsidRPr="00384747">
        <w:rPr>
          <w:rFonts w:ascii="Times New Roman" w:eastAsia="Times New Roman" w:hAnsi="Times New Roman" w:cs="Times New Roman"/>
          <w:sz w:val="24"/>
          <w:szCs w:val="24"/>
        </w:rPr>
        <w:t xml:space="preserve">Please see </w:t>
      </w:r>
      <w:r w:rsidRPr="008D3BDB">
        <w:rPr>
          <w:rFonts w:ascii="Times New Roman" w:eastAsia="Times New Roman" w:hAnsi="Times New Roman" w:cs="Times New Roman"/>
          <w:i/>
          <w:iCs/>
          <w:sz w:val="24"/>
          <w:szCs w:val="24"/>
        </w:rPr>
        <w:t>Budget Guidelines</w:t>
      </w:r>
      <w:r w:rsidRPr="00384747">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369903B3" w:rsidR="00CF1A66" w:rsidRPr="00970F7D" w:rsidRDefault="00CF1A66" w:rsidP="00970F7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970F7D">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A071CE"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w:t>
      </w:r>
      <w:r w:rsidRPr="00A071CE">
        <w:rPr>
          <w:rFonts w:ascii="Times New Roman" w:eastAsia="Times New Roman" w:hAnsi="Times New Roman" w:cs="Times New Roman"/>
          <w:sz w:val="24"/>
          <w:szCs w:val="24"/>
        </w:rPr>
        <w:t xml:space="preserve">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w:t>
      </w:r>
      <w:r w:rsidRPr="00A071CE">
        <w:rPr>
          <w:rFonts w:ascii="Times New Roman" w:eastAsia="Times New Roman" w:hAnsi="Times New Roman" w:cs="Times New Roman"/>
          <w:sz w:val="24"/>
          <w:szCs w:val="24"/>
        </w:rPr>
        <w:lastRenderedPageBreak/>
        <w:t>organization will have the necessary informed consent forms, confidentiality agreements, and data security protocols.</w:t>
      </w:r>
      <w:r w:rsidR="00141D59" w:rsidRPr="00A071CE">
        <w:rPr>
          <w:rFonts w:ascii="Times New Roman" w:eastAsia="Times New Roman" w:hAnsi="Times New Roman" w:cs="Times New Roman"/>
          <w:sz w:val="24"/>
          <w:szCs w:val="24"/>
        </w:rPr>
        <w:br/>
      </w:r>
    </w:p>
    <w:p w14:paraId="19ECE3F6" w14:textId="5CEA165D" w:rsidR="00046B0B" w:rsidRPr="00A071CE" w:rsidRDefault="00CF1A66" w:rsidP="00141D59">
      <w:pPr>
        <w:pStyle w:val="NoSpacing"/>
        <w:numPr>
          <w:ilvl w:val="0"/>
          <w:numId w:val="17"/>
        </w:numPr>
        <w:rPr>
          <w:rFonts w:ascii="Times New Roman" w:eastAsia="Times New Roman" w:hAnsi="Times New Roman" w:cs="Times New Roman"/>
          <w:sz w:val="24"/>
          <w:szCs w:val="24"/>
        </w:rPr>
      </w:pPr>
      <w:r w:rsidRPr="00A071CE">
        <w:rPr>
          <w:rFonts w:ascii="Times New Roman" w:eastAsia="Times New Roman" w:hAnsi="Times New Roman" w:cs="Times New Roman"/>
          <w:b/>
          <w:sz w:val="24"/>
          <w:szCs w:val="24"/>
        </w:rPr>
        <w:t>Monitoring and Evaluation Plan</w:t>
      </w:r>
      <w:r w:rsidRPr="00A071CE">
        <w:rPr>
          <w:rFonts w:ascii="Times New Roman" w:eastAsia="Times New Roman" w:hAnsi="Times New Roman" w:cs="Times New Roman"/>
          <w:sz w:val="24"/>
          <w:szCs w:val="24"/>
        </w:rPr>
        <w:t xml:space="preserve"> (preferably as a Word</w:t>
      </w:r>
      <w:r w:rsidR="000B5C07" w:rsidRPr="00A071CE">
        <w:rPr>
          <w:rFonts w:ascii="Times New Roman" w:eastAsia="Times New Roman" w:hAnsi="Times New Roman" w:cs="Times New Roman"/>
          <w:sz w:val="24"/>
          <w:szCs w:val="24"/>
        </w:rPr>
        <w:t xml:space="preserve"> Document</w:t>
      </w:r>
      <w:r w:rsidRPr="00A071CE">
        <w:rPr>
          <w:rFonts w:ascii="Times New Roman" w:eastAsia="Times New Roman" w:hAnsi="Times New Roman" w:cs="Times New Roman"/>
          <w:sz w:val="24"/>
          <w:szCs w:val="24"/>
        </w:rPr>
        <w:t xml:space="preserve"> or Excel </w:t>
      </w:r>
      <w:r w:rsidR="000B5C07" w:rsidRPr="00A071CE">
        <w:rPr>
          <w:rFonts w:ascii="Times New Roman" w:eastAsia="Times New Roman" w:hAnsi="Times New Roman" w:cs="Times New Roman"/>
          <w:sz w:val="24"/>
          <w:szCs w:val="24"/>
        </w:rPr>
        <w:t>Sheet</w:t>
      </w:r>
      <w:r w:rsidRPr="00A071CE">
        <w:rPr>
          <w:rFonts w:ascii="Times New Roman" w:eastAsia="Times New Roman" w:hAnsi="Times New Roman" w:cs="Times New Roman"/>
          <w:sz w:val="24"/>
          <w:szCs w:val="24"/>
        </w:rPr>
        <w:t xml:space="preserve">). </w:t>
      </w:r>
      <w:r w:rsidR="000B5C07" w:rsidRPr="00A071CE">
        <w:rPr>
          <w:rFonts w:ascii="Times New Roman" w:eastAsia="Times New Roman" w:hAnsi="Times New Roman" w:cs="Times New Roman"/>
          <w:sz w:val="24"/>
          <w:szCs w:val="24"/>
        </w:rPr>
        <w:t xml:space="preserve"> </w:t>
      </w:r>
      <w:r w:rsidRPr="00A071CE">
        <w:rPr>
          <w:rFonts w:ascii="Times New Roman" w:eastAsia="Times New Roman" w:hAnsi="Times New Roman" w:cs="Times New Roman"/>
          <w:sz w:val="24"/>
          <w:szCs w:val="24"/>
        </w:rPr>
        <w:t xml:space="preserve">Please see </w:t>
      </w:r>
      <w:r w:rsidRPr="00A071CE">
        <w:rPr>
          <w:rFonts w:ascii="Times New Roman" w:eastAsia="Times New Roman" w:hAnsi="Times New Roman" w:cs="Times New Roman"/>
          <w:i/>
          <w:sz w:val="24"/>
          <w:szCs w:val="24"/>
        </w:rPr>
        <w:t>Monitoring and Evaluation Plan</w:t>
      </w:r>
      <w:r w:rsidRPr="00A071CE">
        <w:rPr>
          <w:rFonts w:ascii="Times New Roman" w:eastAsia="Times New Roman" w:hAnsi="Times New Roman" w:cs="Times New Roman"/>
          <w:sz w:val="24"/>
          <w:szCs w:val="24"/>
        </w:rPr>
        <w:t xml:space="preserve"> </w:t>
      </w:r>
      <w:r w:rsidR="000B5C07" w:rsidRPr="00A071CE">
        <w:rPr>
          <w:rFonts w:ascii="Times New Roman" w:eastAsia="Times New Roman" w:hAnsi="Times New Roman" w:cs="Times New Roman"/>
          <w:sz w:val="24"/>
          <w:szCs w:val="24"/>
        </w:rPr>
        <w:t>S</w:t>
      </w:r>
      <w:r w:rsidRPr="00A071CE">
        <w:rPr>
          <w:rFonts w:ascii="Times New Roman" w:eastAsia="Times New Roman" w:hAnsi="Times New Roman" w:cs="Times New Roman"/>
          <w:sz w:val="24"/>
          <w:szCs w:val="24"/>
        </w:rPr>
        <w:t>ection 2</w:t>
      </w:r>
      <w:r w:rsidR="002C5E91" w:rsidRPr="00A071CE">
        <w:rPr>
          <w:rFonts w:ascii="Times New Roman" w:eastAsia="Times New Roman" w:hAnsi="Times New Roman" w:cs="Times New Roman"/>
          <w:sz w:val="24"/>
          <w:szCs w:val="24"/>
        </w:rPr>
        <w:t>J</w:t>
      </w:r>
      <w:r w:rsidRPr="00A071CE">
        <w:rPr>
          <w:rFonts w:ascii="Times New Roman" w:eastAsia="Times New Roman" w:hAnsi="Times New Roman" w:cs="Times New Roman"/>
          <w:sz w:val="24"/>
          <w:szCs w:val="24"/>
        </w:rPr>
        <w:t xml:space="preserve"> </w:t>
      </w:r>
      <w:r w:rsidR="00706C29" w:rsidRPr="00A071CE">
        <w:rPr>
          <w:rFonts w:ascii="Times New Roman" w:eastAsia="Times New Roman" w:hAnsi="Times New Roman" w:cs="Times New Roman"/>
          <w:sz w:val="24"/>
          <w:szCs w:val="24"/>
        </w:rPr>
        <w:t xml:space="preserve">of the PSI </w:t>
      </w:r>
      <w:r w:rsidRPr="00A071CE">
        <w:rPr>
          <w:rFonts w:ascii="Times New Roman" w:eastAsia="Times New Roman" w:hAnsi="Times New Roman" w:cs="Times New Roman"/>
          <w:sz w:val="24"/>
          <w:szCs w:val="24"/>
        </w:rPr>
        <w:t xml:space="preserve">for more information.  </w:t>
      </w:r>
      <w:r w:rsidR="00046B0B" w:rsidRPr="00A071CE">
        <w:rPr>
          <w:rFonts w:ascii="Times New Roman" w:eastAsia="Times New Roman" w:hAnsi="Times New Roman" w:cs="Times New Roman"/>
          <w:sz w:val="24"/>
          <w:szCs w:val="24"/>
        </w:rPr>
        <w:br/>
      </w:r>
    </w:p>
    <w:p w14:paraId="2FF21F4C" w14:textId="34967501" w:rsidR="00CF1A66" w:rsidRPr="00A071CE" w:rsidRDefault="00CF1A66" w:rsidP="00141D59">
      <w:pPr>
        <w:pStyle w:val="NoSpacing"/>
        <w:numPr>
          <w:ilvl w:val="0"/>
          <w:numId w:val="17"/>
        </w:numPr>
        <w:rPr>
          <w:rFonts w:ascii="Times New Roman" w:eastAsia="Times New Roman" w:hAnsi="Times New Roman" w:cs="Times New Roman"/>
          <w:sz w:val="24"/>
          <w:szCs w:val="24"/>
        </w:rPr>
      </w:pPr>
      <w:r w:rsidRPr="00A071CE">
        <w:rPr>
          <w:rFonts w:ascii="Times New Roman" w:eastAsia="Times New Roman" w:hAnsi="Times New Roman" w:cs="Times New Roman"/>
          <w:b/>
          <w:sz w:val="24"/>
          <w:szCs w:val="24"/>
        </w:rPr>
        <w:t>Risk Analysis</w:t>
      </w:r>
      <w:r w:rsidRPr="00A071CE">
        <w:rPr>
          <w:rFonts w:ascii="Times New Roman" w:eastAsia="Times New Roman" w:hAnsi="Times New Roman" w:cs="Times New Roman"/>
          <w:sz w:val="24"/>
          <w:szCs w:val="24"/>
        </w:rPr>
        <w:t xml:space="preserve"> (preferably as a Word Document).  Please see </w:t>
      </w:r>
      <w:r w:rsidRPr="00A071CE">
        <w:rPr>
          <w:rFonts w:ascii="Times New Roman" w:eastAsia="Times New Roman" w:hAnsi="Times New Roman" w:cs="Times New Roman"/>
          <w:i/>
          <w:sz w:val="24"/>
          <w:szCs w:val="24"/>
        </w:rPr>
        <w:t>Risk Analysis</w:t>
      </w:r>
      <w:r w:rsidRPr="00A071CE">
        <w:rPr>
          <w:rFonts w:ascii="Times New Roman" w:eastAsia="Times New Roman" w:hAnsi="Times New Roman" w:cs="Times New Roman"/>
          <w:sz w:val="24"/>
          <w:szCs w:val="24"/>
        </w:rPr>
        <w:t xml:space="preserve"> </w:t>
      </w:r>
      <w:r w:rsidR="000B5C07" w:rsidRPr="00A071CE">
        <w:rPr>
          <w:rFonts w:ascii="Times New Roman" w:eastAsia="Times New Roman" w:hAnsi="Times New Roman" w:cs="Times New Roman"/>
          <w:sz w:val="24"/>
          <w:szCs w:val="24"/>
        </w:rPr>
        <w:t>S</w:t>
      </w:r>
      <w:r w:rsidRPr="00A071CE">
        <w:rPr>
          <w:rFonts w:ascii="Times New Roman" w:eastAsia="Times New Roman" w:hAnsi="Times New Roman" w:cs="Times New Roman"/>
          <w:sz w:val="24"/>
          <w:szCs w:val="24"/>
        </w:rPr>
        <w:t>ection 2</w:t>
      </w:r>
      <w:r w:rsidR="002C5E91" w:rsidRPr="00A071CE">
        <w:rPr>
          <w:rFonts w:ascii="Times New Roman" w:eastAsia="Times New Roman" w:hAnsi="Times New Roman" w:cs="Times New Roman"/>
          <w:sz w:val="24"/>
          <w:szCs w:val="24"/>
        </w:rPr>
        <w:t>K</w:t>
      </w:r>
      <w:r w:rsidRPr="00A071CE">
        <w:rPr>
          <w:rFonts w:ascii="Times New Roman" w:eastAsia="Times New Roman" w:hAnsi="Times New Roman" w:cs="Times New Roman"/>
          <w:sz w:val="24"/>
          <w:szCs w:val="24"/>
        </w:rPr>
        <w:t xml:space="preserve"> </w:t>
      </w:r>
      <w:r w:rsidR="00706C29" w:rsidRPr="00A071CE">
        <w:rPr>
          <w:rFonts w:ascii="Times New Roman" w:eastAsia="Times New Roman" w:hAnsi="Times New Roman" w:cs="Times New Roman"/>
          <w:sz w:val="24"/>
          <w:szCs w:val="24"/>
        </w:rPr>
        <w:t>of the PSI</w:t>
      </w:r>
      <w:r w:rsidRPr="00A071CE">
        <w:rPr>
          <w:rFonts w:ascii="Times New Roman" w:eastAsia="Times New Roman" w:hAnsi="Times New Roman" w:cs="Times New Roman"/>
          <w:sz w:val="24"/>
          <w:szCs w:val="24"/>
        </w:rPr>
        <w:t xml:space="preserve"> </w:t>
      </w:r>
      <w:r w:rsidR="00C54FAC" w:rsidRPr="00A071CE">
        <w:rPr>
          <w:rFonts w:ascii="Times New Roman" w:eastAsia="Times New Roman" w:hAnsi="Times New Roman" w:cs="Times New Roman"/>
          <w:sz w:val="24"/>
          <w:szCs w:val="24"/>
        </w:rPr>
        <w:t>for more information on this requirement, including Do No Harm principles and Preventing Sexual Exploitation and Abuse (PSEA) policies/plans</w:t>
      </w:r>
      <w:r w:rsidRPr="00A071CE">
        <w:rPr>
          <w:rFonts w:ascii="Times New Roman" w:eastAsia="Times New Roman" w:hAnsi="Times New Roman" w:cs="Times New Roman"/>
          <w:sz w:val="24"/>
          <w:szCs w:val="24"/>
        </w:rPr>
        <w:t>.</w:t>
      </w:r>
      <w:r w:rsidRPr="00A071CE">
        <w:rPr>
          <w:rFonts w:ascii="Times New Roman" w:eastAsia="Times New Roman" w:hAnsi="Times New Roman" w:cs="Times New Roman"/>
          <w:sz w:val="24"/>
          <w:szCs w:val="24"/>
        </w:rPr>
        <w:br/>
      </w:r>
    </w:p>
    <w:p w14:paraId="76A772A9" w14:textId="2B408201" w:rsidR="00CF1A66" w:rsidRPr="00A071CE" w:rsidRDefault="00CF1A66" w:rsidP="00141D59">
      <w:pPr>
        <w:pStyle w:val="NoSpacing"/>
        <w:numPr>
          <w:ilvl w:val="0"/>
          <w:numId w:val="17"/>
        </w:numPr>
        <w:rPr>
          <w:rFonts w:ascii="Times New Roman" w:eastAsia="Times New Roman" w:hAnsi="Times New Roman" w:cs="Times New Roman"/>
          <w:sz w:val="24"/>
          <w:szCs w:val="24"/>
        </w:rPr>
      </w:pPr>
      <w:r w:rsidRPr="00A071CE">
        <w:rPr>
          <w:rFonts w:ascii="Times New Roman" w:eastAsia="Times New Roman" w:hAnsi="Times New Roman" w:cs="Times New Roman"/>
          <w:b/>
          <w:sz w:val="24"/>
          <w:szCs w:val="24"/>
        </w:rPr>
        <w:t>Key Personnel</w:t>
      </w:r>
      <w:r w:rsidRPr="00A071CE">
        <w:rPr>
          <w:rFonts w:ascii="Times New Roman" w:eastAsia="Times New Roman" w:hAnsi="Times New Roman" w:cs="Times New Roman"/>
          <w:sz w:val="24"/>
          <w:szCs w:val="24"/>
        </w:rPr>
        <w:t xml:space="preserve"> (not to exceed two </w:t>
      </w:r>
      <w:r w:rsidR="00787314" w:rsidRPr="00A071CE">
        <w:rPr>
          <w:rFonts w:ascii="Times New Roman" w:eastAsia="Times New Roman" w:hAnsi="Times New Roman" w:cs="Times New Roman"/>
          <w:sz w:val="24"/>
          <w:szCs w:val="24"/>
        </w:rPr>
        <w:t>(</w:t>
      </w:r>
      <w:r w:rsidRPr="00A071CE">
        <w:rPr>
          <w:rFonts w:ascii="Times New Roman" w:eastAsia="Times New Roman" w:hAnsi="Times New Roman" w:cs="Times New Roman"/>
          <w:sz w:val="24"/>
          <w:szCs w:val="24"/>
        </w:rPr>
        <w:t>2</w:t>
      </w:r>
      <w:r w:rsidR="00787314" w:rsidRPr="00A071CE">
        <w:rPr>
          <w:rFonts w:ascii="Times New Roman" w:eastAsia="Times New Roman" w:hAnsi="Times New Roman" w:cs="Times New Roman"/>
          <w:sz w:val="24"/>
          <w:szCs w:val="24"/>
        </w:rPr>
        <w:t xml:space="preserve">) </w:t>
      </w:r>
      <w:r w:rsidRPr="00A071CE">
        <w:rPr>
          <w:rFonts w:ascii="Times New Roman" w:eastAsia="Times New Roman" w:hAnsi="Times New Roman" w:cs="Times New Roman"/>
          <w:sz w:val="24"/>
          <w:szCs w:val="24"/>
        </w:rPr>
        <w:t>page</w:t>
      </w:r>
      <w:r w:rsidR="000B5C07" w:rsidRPr="00A071CE">
        <w:rPr>
          <w:rFonts w:ascii="Times New Roman" w:eastAsia="Times New Roman" w:hAnsi="Times New Roman" w:cs="Times New Roman"/>
          <w:sz w:val="24"/>
          <w:szCs w:val="24"/>
        </w:rPr>
        <w:t>s</w:t>
      </w:r>
      <w:r w:rsidRPr="00A071CE">
        <w:rPr>
          <w:rFonts w:ascii="Times New Roman" w:eastAsia="Times New Roman" w:hAnsi="Times New Roman" w:cs="Times New Roman"/>
          <w:sz w:val="24"/>
          <w:szCs w:val="24"/>
        </w:rPr>
        <w:t>, preferably as a Word Document).  Please include short bios that highlight relevant professional experience.  Given the limited space, CVs are not recommended for submission.</w:t>
      </w:r>
      <w:r w:rsidRPr="00A071CE">
        <w:rPr>
          <w:rFonts w:ascii="Times New Roman" w:eastAsia="Times New Roman" w:hAnsi="Times New Roman" w:cs="Times New Roman"/>
          <w:sz w:val="24"/>
          <w:szCs w:val="24"/>
        </w:rPr>
        <w:br/>
      </w:r>
    </w:p>
    <w:p w14:paraId="10E6A540" w14:textId="6DE9CB87" w:rsidR="00CF1A66" w:rsidRPr="00A071CE" w:rsidRDefault="00CF1A66" w:rsidP="00141D59">
      <w:pPr>
        <w:pStyle w:val="NoSpacing"/>
        <w:numPr>
          <w:ilvl w:val="0"/>
          <w:numId w:val="17"/>
        </w:numPr>
        <w:rPr>
          <w:rFonts w:ascii="Times New Roman" w:eastAsia="Times New Roman" w:hAnsi="Times New Roman" w:cs="Times New Roman"/>
          <w:color w:val="252525"/>
          <w:sz w:val="24"/>
          <w:szCs w:val="24"/>
        </w:rPr>
      </w:pPr>
      <w:r w:rsidRPr="00A071CE">
        <w:rPr>
          <w:rFonts w:ascii="Times New Roman" w:eastAsia="Times New Roman" w:hAnsi="Times New Roman" w:cs="Times New Roman"/>
          <w:b/>
          <w:sz w:val="24"/>
          <w:szCs w:val="24"/>
        </w:rPr>
        <w:t>Timeline</w:t>
      </w:r>
      <w:r w:rsidRPr="00A071CE">
        <w:rPr>
          <w:rFonts w:ascii="Times New Roman" w:eastAsia="Times New Roman" w:hAnsi="Times New Roman" w:cs="Times New Roman"/>
          <w:sz w:val="24"/>
          <w:szCs w:val="24"/>
        </w:rPr>
        <w:t xml:space="preserve"> (not to exceed one </w:t>
      </w:r>
      <w:r w:rsidR="00787314" w:rsidRPr="00A071CE">
        <w:rPr>
          <w:rFonts w:ascii="Times New Roman" w:eastAsia="Times New Roman" w:hAnsi="Times New Roman" w:cs="Times New Roman"/>
          <w:sz w:val="24"/>
          <w:szCs w:val="24"/>
        </w:rPr>
        <w:t>(</w:t>
      </w:r>
      <w:r w:rsidRPr="00A071CE">
        <w:rPr>
          <w:rFonts w:ascii="Times New Roman" w:eastAsia="Times New Roman" w:hAnsi="Times New Roman" w:cs="Times New Roman"/>
          <w:sz w:val="24"/>
          <w:szCs w:val="24"/>
        </w:rPr>
        <w:t>1</w:t>
      </w:r>
      <w:r w:rsidR="00787314" w:rsidRPr="00A071CE">
        <w:rPr>
          <w:rFonts w:ascii="Times New Roman" w:eastAsia="Times New Roman" w:hAnsi="Times New Roman" w:cs="Times New Roman"/>
          <w:sz w:val="24"/>
          <w:szCs w:val="24"/>
        </w:rPr>
        <w:t xml:space="preserve">) </w:t>
      </w:r>
      <w:r w:rsidRPr="00A071CE">
        <w:rPr>
          <w:rFonts w:ascii="Times New Roman" w:eastAsia="Times New Roman" w:hAnsi="Times New Roman" w:cs="Times New Roman"/>
          <w:sz w:val="24"/>
          <w:szCs w:val="24"/>
        </w:rPr>
        <w:t>page, preferably as a Word</w:t>
      </w:r>
      <w:r w:rsidR="000B5C07" w:rsidRPr="00A071CE">
        <w:rPr>
          <w:rFonts w:ascii="Times New Roman" w:eastAsia="Times New Roman" w:hAnsi="Times New Roman" w:cs="Times New Roman"/>
          <w:sz w:val="24"/>
          <w:szCs w:val="24"/>
        </w:rPr>
        <w:t xml:space="preserve"> Document</w:t>
      </w:r>
      <w:r w:rsidRPr="00A071CE">
        <w:rPr>
          <w:rFonts w:ascii="Times New Roman" w:eastAsia="Times New Roman" w:hAnsi="Times New Roman" w:cs="Times New Roman"/>
          <w:sz w:val="24"/>
          <w:szCs w:val="24"/>
        </w:rPr>
        <w:t xml:space="preserve"> or Excel </w:t>
      </w:r>
      <w:r w:rsidR="000B5C07" w:rsidRPr="00A071CE">
        <w:rPr>
          <w:rFonts w:ascii="Times New Roman" w:eastAsia="Times New Roman" w:hAnsi="Times New Roman" w:cs="Times New Roman"/>
          <w:sz w:val="24"/>
          <w:szCs w:val="24"/>
        </w:rPr>
        <w:t>Sheet</w:t>
      </w:r>
      <w:r w:rsidRPr="00A071CE">
        <w:rPr>
          <w:rFonts w:ascii="Times New Roman" w:eastAsia="Times New Roman" w:hAnsi="Times New Roman" w:cs="Times New Roman"/>
          <w:sz w:val="24"/>
          <w:szCs w:val="24"/>
        </w:rPr>
        <w:t>).  The timeline of the overall proposal should include activities, evaluation efforts, and program closeout.</w:t>
      </w:r>
      <w:r w:rsidR="000B7387" w:rsidRPr="00A071CE">
        <w:rPr>
          <w:rFonts w:ascii="Times New Roman" w:eastAsia="Times New Roman" w:hAnsi="Times New Roman" w:cs="Times New Roman"/>
          <w:sz w:val="24"/>
          <w:szCs w:val="24"/>
        </w:rPr>
        <w:br/>
      </w:r>
    </w:p>
    <w:p w14:paraId="7C2234E9" w14:textId="70ABF571" w:rsidR="000B7387" w:rsidRPr="00A071CE" w:rsidRDefault="00B75E79" w:rsidP="00141D59">
      <w:pPr>
        <w:pStyle w:val="NoSpacing"/>
        <w:numPr>
          <w:ilvl w:val="0"/>
          <w:numId w:val="17"/>
        </w:numPr>
        <w:rPr>
          <w:rFonts w:ascii="Times New Roman" w:eastAsia="Times New Roman" w:hAnsi="Times New Roman" w:cs="Times New Roman"/>
          <w:color w:val="252525"/>
          <w:sz w:val="24"/>
          <w:szCs w:val="24"/>
        </w:rPr>
      </w:pPr>
      <w:r w:rsidRPr="00A071CE">
        <w:rPr>
          <w:rFonts w:ascii="Times New Roman" w:eastAsia="Times New Roman" w:hAnsi="Times New Roman" w:cs="Times New Roman"/>
          <w:b/>
          <w:color w:val="252525"/>
          <w:sz w:val="24"/>
          <w:szCs w:val="24"/>
        </w:rPr>
        <w:t xml:space="preserve">Gender </w:t>
      </w:r>
      <w:r w:rsidR="00EC1DE8" w:rsidRPr="00A071CE">
        <w:rPr>
          <w:rFonts w:ascii="Times New Roman" w:eastAsia="Times New Roman" w:hAnsi="Times New Roman" w:cs="Times New Roman"/>
          <w:b/>
          <w:color w:val="252525"/>
          <w:sz w:val="24"/>
          <w:szCs w:val="24"/>
        </w:rPr>
        <w:t xml:space="preserve">and Inclusion </w:t>
      </w:r>
      <w:r w:rsidRPr="00A071CE">
        <w:rPr>
          <w:rFonts w:ascii="Times New Roman" w:eastAsia="Times New Roman" w:hAnsi="Times New Roman" w:cs="Times New Roman"/>
          <w:b/>
          <w:color w:val="252525"/>
          <w:sz w:val="24"/>
          <w:szCs w:val="24"/>
        </w:rPr>
        <w:t>Analysis</w:t>
      </w:r>
      <w:r w:rsidRPr="00A071CE">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1" w:name="_Hlk87981153"/>
      <w:r w:rsidR="00EC1DE8" w:rsidRPr="00A071CE">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00A071CE">
        <w:rPr>
          <w:rFonts w:ascii="Times New Roman" w:eastAsia="Times New Roman" w:hAnsi="Times New Roman" w:cs="Times New Roman"/>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00A071CE">
        <w:rPr>
          <w:rFonts w:ascii="Times New Roman" w:eastAsia="Times New Roman" w:hAnsi="Times New Roman" w:cs="Times New Roman"/>
          <w:sz w:val="24"/>
          <w:szCs w:val="24"/>
        </w:rPr>
        <w:t xml:space="preserve">regularly reviewing and updating the gender </w:t>
      </w:r>
      <w:bookmarkStart w:id="2" w:name="_Hlk87981167"/>
      <w:r w:rsidR="00EC1DE8" w:rsidRPr="00A071CE">
        <w:rPr>
          <w:rFonts w:ascii="Times New Roman" w:eastAsia="Times New Roman" w:hAnsi="Times New Roman" w:cs="Times New Roman"/>
          <w:sz w:val="24"/>
          <w:szCs w:val="24"/>
        </w:rPr>
        <w:t xml:space="preserve">and inclusion </w:t>
      </w:r>
      <w:bookmarkEnd w:id="2"/>
      <w:r w:rsidRPr="00A071CE">
        <w:rPr>
          <w:rFonts w:ascii="Times New Roman" w:eastAsia="Times New Roman" w:hAnsi="Times New Roman" w:cs="Times New Roman"/>
          <w:sz w:val="24"/>
          <w:szCs w:val="24"/>
        </w:rPr>
        <w:t>analysis with local partners/beneficiaries, and making any necessary adjustments to program implementation</w:t>
      </w:r>
      <w:r w:rsidRPr="00A071CE">
        <w:rPr>
          <w:rFonts w:ascii="Times New Roman" w:eastAsia="Times New Roman" w:hAnsi="Times New Roman" w:cs="Times New Roman"/>
          <w:color w:val="252525"/>
          <w:sz w:val="24"/>
          <w:szCs w:val="24"/>
        </w:rPr>
        <w:t xml:space="preserve">.  A set of guiding questions can be found in Section </w:t>
      </w:r>
      <w:r w:rsidR="002F4E41" w:rsidRPr="00A071CE">
        <w:rPr>
          <w:rFonts w:ascii="Times New Roman" w:eastAsia="Times New Roman" w:hAnsi="Times New Roman" w:cs="Times New Roman"/>
          <w:color w:val="252525"/>
          <w:sz w:val="24"/>
          <w:szCs w:val="24"/>
        </w:rPr>
        <w:t>2</w:t>
      </w:r>
      <w:r w:rsidRPr="00A071CE">
        <w:rPr>
          <w:rFonts w:ascii="Times New Roman" w:eastAsia="Times New Roman" w:hAnsi="Times New Roman" w:cs="Times New Roman"/>
          <w:color w:val="252525"/>
          <w:sz w:val="24"/>
          <w:szCs w:val="24"/>
        </w:rPr>
        <w:t>L of the PSI.</w:t>
      </w:r>
    </w:p>
    <w:p w14:paraId="7B5E326E" w14:textId="77777777" w:rsidR="006448FC" w:rsidRPr="00A071CE" w:rsidRDefault="006448FC" w:rsidP="00141D59">
      <w:pPr>
        <w:pStyle w:val="NoSpacing"/>
        <w:ind w:left="720"/>
        <w:rPr>
          <w:rFonts w:ascii="Times New Roman" w:eastAsia="Times New Roman" w:hAnsi="Times New Roman" w:cs="Times New Roman"/>
          <w:color w:val="252525"/>
          <w:sz w:val="24"/>
          <w:szCs w:val="24"/>
        </w:rPr>
      </w:pPr>
    </w:p>
    <w:p w14:paraId="67C1B047" w14:textId="4742659D" w:rsidR="006448FC" w:rsidRPr="00A071CE" w:rsidRDefault="00DF4C00" w:rsidP="00141D59">
      <w:pPr>
        <w:pStyle w:val="NoSpacing"/>
        <w:numPr>
          <w:ilvl w:val="0"/>
          <w:numId w:val="17"/>
        </w:numPr>
        <w:rPr>
          <w:rFonts w:ascii="Times New Roman" w:eastAsia="Times New Roman" w:hAnsi="Times New Roman" w:cs="Times New Roman"/>
          <w:color w:val="252525"/>
          <w:sz w:val="24"/>
          <w:szCs w:val="24"/>
        </w:rPr>
      </w:pPr>
      <w:r w:rsidRPr="00A071CE">
        <w:rPr>
          <w:rFonts w:ascii="Times New Roman" w:eastAsia="Times New Roman" w:hAnsi="Times New Roman" w:cs="Times New Roman"/>
          <w:b/>
          <w:sz w:val="24"/>
          <w:szCs w:val="24"/>
        </w:rPr>
        <w:t>Security Plan</w:t>
      </w:r>
      <w:r w:rsidR="00ED47F2" w:rsidRPr="00A071CE">
        <w:rPr>
          <w:rFonts w:ascii="Times New Roman" w:eastAsia="Times New Roman" w:hAnsi="Times New Roman" w:cs="Times New Roman"/>
          <w:b/>
          <w:sz w:val="24"/>
          <w:szCs w:val="24"/>
        </w:rPr>
        <w:t xml:space="preserve"> </w:t>
      </w:r>
      <w:r w:rsidR="006448FC" w:rsidRPr="00A071CE">
        <w:rPr>
          <w:rFonts w:ascii="Times New Roman" w:eastAsia="Times New Roman" w:hAnsi="Times New Roman" w:cs="Times New Roman"/>
          <w:sz w:val="24"/>
          <w:szCs w:val="24"/>
        </w:rPr>
        <w:t xml:space="preserve">addressing any issues involving in-person events and recruitment for said events, </w:t>
      </w:r>
      <w:r w:rsidR="000B5C07" w:rsidRPr="00A071CE">
        <w:rPr>
          <w:rFonts w:ascii="Times New Roman" w:eastAsia="Times New Roman" w:hAnsi="Times New Roman" w:cs="Times New Roman"/>
          <w:sz w:val="24"/>
          <w:szCs w:val="24"/>
        </w:rPr>
        <w:t xml:space="preserve">and </w:t>
      </w:r>
      <w:r w:rsidR="006448FC" w:rsidRPr="00A071CE">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A071CE">
        <w:rPr>
          <w:rFonts w:ascii="Times New Roman" w:eastAsia="Times New Roman" w:hAnsi="Times New Roman" w:cs="Times New Roman"/>
          <w:color w:val="auto"/>
          <w:sz w:val="24"/>
          <w:szCs w:val="24"/>
        </w:rPr>
        <w:t xml:space="preserve">.  </w:t>
      </w:r>
      <w:r w:rsidR="00C92E25" w:rsidRPr="00A071CE">
        <w:rPr>
          <w:rFonts w:ascii="Times New Roman" w:eastAsia="Times New Roman" w:hAnsi="Times New Roman" w:cs="Times New Roman"/>
          <w:color w:val="auto"/>
          <w:sz w:val="24"/>
          <w:szCs w:val="24"/>
        </w:rPr>
        <w:t>Organization’s</w:t>
      </w:r>
      <w:r w:rsidR="00D47D44" w:rsidRPr="00A071CE">
        <w:rPr>
          <w:rFonts w:ascii="Times New Roman" w:eastAsia="Times New Roman" w:hAnsi="Times New Roman" w:cs="Times New Roman"/>
          <w:color w:val="auto"/>
          <w:sz w:val="24"/>
          <w:szCs w:val="24"/>
        </w:rPr>
        <w:t xml:space="preserve"> </w:t>
      </w:r>
      <w:r w:rsidR="00114C38" w:rsidRPr="00A071CE">
        <w:rPr>
          <w:rFonts w:ascii="Times New Roman" w:eastAsia="Times New Roman" w:hAnsi="Times New Roman" w:cs="Times New Roman"/>
          <w:color w:val="auto"/>
          <w:sz w:val="24"/>
          <w:szCs w:val="24"/>
        </w:rPr>
        <w:t>S</w:t>
      </w:r>
      <w:r w:rsidR="00D47D44" w:rsidRPr="00A071CE">
        <w:rPr>
          <w:rFonts w:ascii="Times New Roman" w:eastAsia="Times New Roman" w:hAnsi="Times New Roman" w:cs="Times New Roman"/>
          <w:color w:val="auto"/>
          <w:sz w:val="24"/>
          <w:szCs w:val="24"/>
        </w:rPr>
        <w:t xml:space="preserve">ecurity </w:t>
      </w:r>
      <w:r w:rsidR="00114C38" w:rsidRPr="00A071CE">
        <w:rPr>
          <w:rFonts w:ascii="Times New Roman" w:eastAsia="Times New Roman" w:hAnsi="Times New Roman" w:cs="Times New Roman"/>
          <w:color w:val="auto"/>
          <w:sz w:val="24"/>
          <w:szCs w:val="24"/>
        </w:rPr>
        <w:t>P</w:t>
      </w:r>
      <w:r w:rsidR="00D47D44" w:rsidRPr="00A071CE">
        <w:rPr>
          <w:rFonts w:ascii="Times New Roman" w:eastAsia="Times New Roman" w:hAnsi="Times New Roman" w:cs="Times New Roman"/>
          <w:color w:val="auto"/>
          <w:sz w:val="24"/>
          <w:szCs w:val="24"/>
        </w:rPr>
        <w:t>lan should demonstrate consideration of the risks identified in the submitted risk assessment</w:t>
      </w:r>
      <w:r w:rsidR="00C92E25" w:rsidRPr="00A071CE">
        <w:rPr>
          <w:rFonts w:ascii="Times New Roman" w:eastAsia="Times New Roman" w:hAnsi="Times New Roman" w:cs="Times New Roman"/>
          <w:color w:val="auto"/>
          <w:sz w:val="24"/>
          <w:szCs w:val="24"/>
        </w:rPr>
        <w:t xml:space="preserve">.  Costs may also be identified within the budget and budget </w:t>
      </w:r>
      <w:r w:rsidR="00D47D44" w:rsidRPr="00A071CE">
        <w:rPr>
          <w:rFonts w:ascii="Times New Roman" w:eastAsia="Times New Roman" w:hAnsi="Times New Roman" w:cs="Times New Roman"/>
          <w:color w:val="auto"/>
          <w:sz w:val="24"/>
          <w:szCs w:val="24"/>
        </w:rPr>
        <w:t>narrative</w:t>
      </w:r>
      <w:r w:rsidR="00C92E25" w:rsidRPr="00A071CE">
        <w:rPr>
          <w:rFonts w:ascii="Times New Roman" w:eastAsia="Times New Roman" w:hAnsi="Times New Roman" w:cs="Times New Roman"/>
          <w:color w:val="auto"/>
          <w:sz w:val="24"/>
          <w:szCs w:val="24"/>
        </w:rPr>
        <w:t xml:space="preserve">.  </w:t>
      </w:r>
      <w:r w:rsidR="000B5C07" w:rsidRPr="00A071CE">
        <w:rPr>
          <w:rFonts w:ascii="Times New Roman" w:eastAsia="Times New Roman" w:hAnsi="Times New Roman" w:cs="Times New Roman"/>
          <w:sz w:val="24"/>
          <w:szCs w:val="24"/>
        </w:rPr>
        <w:t>Applicants</w:t>
      </w:r>
      <w:r w:rsidR="006448FC" w:rsidRPr="00A071CE">
        <w:rPr>
          <w:rFonts w:ascii="Times New Roman" w:eastAsia="Times New Roman" w:hAnsi="Times New Roman" w:cs="Times New Roman"/>
          <w:sz w:val="24"/>
          <w:szCs w:val="24"/>
        </w:rPr>
        <w:t xml:space="preserve"> are </w:t>
      </w:r>
      <w:r w:rsidR="000B5C07" w:rsidRPr="00A071CE">
        <w:rPr>
          <w:rFonts w:ascii="Times New Roman" w:eastAsia="Times New Roman" w:hAnsi="Times New Roman" w:cs="Times New Roman"/>
          <w:sz w:val="24"/>
          <w:szCs w:val="24"/>
        </w:rPr>
        <w:t xml:space="preserve">also </w:t>
      </w:r>
      <w:r w:rsidR="006448FC" w:rsidRPr="00A071CE">
        <w:rPr>
          <w:rFonts w:ascii="Times New Roman" w:eastAsia="Times New Roman" w:hAnsi="Times New Roman" w:cs="Times New Roman"/>
          <w:sz w:val="24"/>
          <w:szCs w:val="24"/>
        </w:rPr>
        <w:t>encouraged to include contingency plans for in-person or online activities.</w:t>
      </w:r>
    </w:p>
    <w:p w14:paraId="0C9479A0" w14:textId="77777777" w:rsidR="006448FC" w:rsidRPr="00A071CE"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6CE0BCF9" w:rsidR="006448FC" w:rsidRPr="00A071CE" w:rsidRDefault="006448FC" w:rsidP="00141D59">
      <w:pPr>
        <w:pStyle w:val="ListParagraph"/>
        <w:numPr>
          <w:ilvl w:val="0"/>
          <w:numId w:val="17"/>
        </w:numPr>
        <w:spacing w:after="0" w:line="240" w:lineRule="auto"/>
        <w:rPr>
          <w:rFonts w:ascii="Times New Roman" w:eastAsia="Times New Roman" w:hAnsi="Times New Roman" w:cs="Times New Roman"/>
          <w:sz w:val="24"/>
          <w:szCs w:val="24"/>
        </w:rPr>
      </w:pPr>
      <w:r w:rsidRPr="00A071CE">
        <w:rPr>
          <w:rFonts w:ascii="Times New Roman" w:hAnsi="Times New Roman" w:cs="Times New Roman"/>
          <w:b/>
          <w:sz w:val="24"/>
          <w:szCs w:val="24"/>
        </w:rPr>
        <w:t>Contingency Plan</w:t>
      </w:r>
      <w:r w:rsidRPr="00A071CE">
        <w:rPr>
          <w:rFonts w:ascii="Times New Roman" w:eastAsia="Times New Roman" w:hAnsi="Times New Roman" w:cs="Times New Roman"/>
          <w:sz w:val="24"/>
          <w:szCs w:val="24"/>
        </w:rPr>
        <w:t xml:space="preserve"> </w:t>
      </w:r>
      <w:r w:rsidR="000B5C07" w:rsidRPr="00A071CE">
        <w:rPr>
          <w:rFonts w:ascii="Times New Roman" w:eastAsia="Times New Roman" w:hAnsi="Times New Roman" w:cs="Times New Roman"/>
          <w:sz w:val="24"/>
          <w:szCs w:val="24"/>
        </w:rPr>
        <w:t>f</w:t>
      </w:r>
      <w:r w:rsidRPr="00A071CE">
        <w:rPr>
          <w:rFonts w:ascii="Times New Roman" w:hAnsi="Times New Roman" w:cs="Times New Roman"/>
          <w:sz w:val="24"/>
          <w:szCs w:val="24"/>
        </w:rPr>
        <w:t xml:space="preserve">or proposed activities should the originally planned activities not be able to be implemented. </w:t>
      </w:r>
      <w:r w:rsidR="000B5C07" w:rsidRPr="00A071CE">
        <w:rPr>
          <w:rFonts w:ascii="Times New Roman" w:hAnsi="Times New Roman" w:cs="Times New Roman"/>
          <w:sz w:val="24"/>
          <w:szCs w:val="24"/>
        </w:rPr>
        <w:t xml:space="preserve"> </w:t>
      </w:r>
      <w:r w:rsidR="000B5C07" w:rsidRPr="00A071CE">
        <w:rPr>
          <w:rFonts w:ascii="Times New Roman" w:hAnsi="Times New Roman" w:cs="Times New Roman"/>
          <w:color w:val="auto"/>
          <w:sz w:val="24"/>
          <w:szCs w:val="24"/>
        </w:rPr>
        <w:t xml:space="preserve">The </w:t>
      </w:r>
      <w:r w:rsidR="00141D59" w:rsidRPr="00A071CE">
        <w:rPr>
          <w:rFonts w:ascii="Times New Roman" w:hAnsi="Times New Roman" w:cs="Times New Roman"/>
          <w:color w:val="auto"/>
          <w:sz w:val="24"/>
          <w:szCs w:val="24"/>
        </w:rPr>
        <w:t>C</w:t>
      </w:r>
      <w:r w:rsidR="000B5C07" w:rsidRPr="00A071CE">
        <w:rPr>
          <w:rFonts w:ascii="Times New Roman" w:hAnsi="Times New Roman" w:cs="Times New Roman"/>
          <w:color w:val="auto"/>
          <w:sz w:val="24"/>
          <w:szCs w:val="24"/>
        </w:rPr>
        <w:t xml:space="preserve">ontingency </w:t>
      </w:r>
      <w:r w:rsidR="00141D59" w:rsidRPr="00A071CE">
        <w:rPr>
          <w:rFonts w:ascii="Times New Roman" w:hAnsi="Times New Roman" w:cs="Times New Roman"/>
          <w:color w:val="auto"/>
          <w:sz w:val="24"/>
          <w:szCs w:val="24"/>
        </w:rPr>
        <w:t>P</w:t>
      </w:r>
      <w:r w:rsidR="000B5C07" w:rsidRPr="00A071CE">
        <w:rPr>
          <w:rFonts w:ascii="Times New Roman" w:hAnsi="Times New Roman" w:cs="Times New Roman"/>
          <w:color w:val="auto"/>
          <w:sz w:val="24"/>
          <w:szCs w:val="24"/>
        </w:rPr>
        <w:t xml:space="preserve">lan should be submitted </w:t>
      </w:r>
      <w:r w:rsidRPr="00A071CE">
        <w:rPr>
          <w:rFonts w:ascii="Times New Roman" w:hAnsi="Times New Roman" w:cs="Times New Roman"/>
          <w:color w:val="auto"/>
          <w:sz w:val="24"/>
          <w:szCs w:val="24"/>
        </w:rPr>
        <w:t>as an additional annex.</w:t>
      </w:r>
      <w:r w:rsidR="004F69EC" w:rsidRPr="00A071CE">
        <w:rPr>
          <w:rFonts w:ascii="Times New Roman" w:hAnsi="Times New Roman" w:cs="Times New Roman"/>
          <w:color w:val="auto"/>
          <w:sz w:val="24"/>
          <w:szCs w:val="24"/>
        </w:rPr>
        <w:t xml:space="preserve"> </w:t>
      </w:r>
      <w:r w:rsidR="003E3968" w:rsidRPr="00A071CE">
        <w:rPr>
          <w:rFonts w:ascii="Times New Roman" w:hAnsi="Times New Roman" w:cs="Times New Roman"/>
          <w:color w:val="auto"/>
          <w:sz w:val="24"/>
          <w:szCs w:val="24"/>
        </w:rPr>
        <w:t xml:space="preserve"> </w:t>
      </w:r>
      <w:r w:rsidR="003E3968" w:rsidRPr="00A071CE">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00141D59" w:rsidRPr="00A071CE">
        <w:rPr>
          <w:rFonts w:ascii="Times New Roman" w:eastAsia="Times New Roman" w:hAnsi="Times New Roman" w:cs="Times New Roman"/>
          <w:color w:val="auto"/>
          <w:sz w:val="24"/>
          <w:szCs w:val="24"/>
        </w:rPr>
        <w:t>C</w:t>
      </w:r>
      <w:r w:rsidR="003E3968" w:rsidRPr="00A071CE">
        <w:rPr>
          <w:rFonts w:ascii="Times New Roman" w:eastAsia="Times New Roman" w:hAnsi="Times New Roman" w:cs="Times New Roman"/>
          <w:color w:val="auto"/>
          <w:sz w:val="24"/>
          <w:szCs w:val="24"/>
        </w:rPr>
        <w:t xml:space="preserve">ontingency </w:t>
      </w:r>
      <w:r w:rsidR="00141D59" w:rsidRPr="00A071CE">
        <w:rPr>
          <w:rFonts w:ascii="Times New Roman" w:eastAsia="Times New Roman" w:hAnsi="Times New Roman" w:cs="Times New Roman"/>
          <w:color w:val="auto"/>
          <w:sz w:val="24"/>
          <w:szCs w:val="24"/>
        </w:rPr>
        <w:t>P</w:t>
      </w:r>
      <w:r w:rsidR="003E3968" w:rsidRPr="00A071CE">
        <w:rPr>
          <w:rFonts w:ascii="Times New Roman" w:eastAsia="Times New Roman" w:hAnsi="Times New Roman" w:cs="Times New Roman"/>
          <w:color w:val="auto"/>
          <w:sz w:val="24"/>
          <w:szCs w:val="24"/>
        </w:rPr>
        <w:t xml:space="preserve">lan.  </w:t>
      </w:r>
      <w:r w:rsidR="00612DEB" w:rsidRPr="00A071CE">
        <w:rPr>
          <w:rFonts w:ascii="Times New Roman" w:eastAsia="Times New Roman" w:hAnsi="Times New Roman" w:cs="Times New Roman"/>
          <w:color w:val="auto"/>
          <w:sz w:val="24"/>
          <w:szCs w:val="24"/>
        </w:rPr>
        <w:t>Any proposed “plan” must comply with 2CFR200.433 – Contingency provisions.</w:t>
      </w:r>
      <w:r w:rsidR="00577658" w:rsidRPr="00A071CE">
        <w:rPr>
          <w:rFonts w:ascii="Times New Roman" w:eastAsia="Times New Roman" w:hAnsi="Times New Roman" w:cs="Times New Roman"/>
          <w:color w:val="auto"/>
          <w:sz w:val="24"/>
          <w:szCs w:val="24"/>
        </w:rPr>
        <w:t xml:space="preserve"> </w:t>
      </w:r>
      <w:r w:rsidR="00612DEB" w:rsidRPr="00A071CE">
        <w:rPr>
          <w:rFonts w:ascii="Times New Roman" w:eastAsia="Times New Roman" w:hAnsi="Times New Roman" w:cs="Times New Roman"/>
          <w:color w:val="auto"/>
          <w:sz w:val="24"/>
          <w:szCs w:val="24"/>
        </w:rPr>
        <w:t xml:space="preserve"> Plans must not include </w:t>
      </w:r>
      <w:proofErr w:type="spellStart"/>
      <w:r w:rsidR="00612DEB" w:rsidRPr="00A071CE">
        <w:rPr>
          <w:rFonts w:ascii="Times New Roman" w:eastAsia="Times New Roman" w:hAnsi="Times New Roman" w:cs="Times New Roman"/>
          <w:color w:val="auto"/>
          <w:sz w:val="24"/>
          <w:szCs w:val="24"/>
        </w:rPr>
        <w:t>unallocable</w:t>
      </w:r>
      <w:proofErr w:type="spellEnd"/>
      <w:r w:rsidR="00612DEB" w:rsidRPr="00A071CE">
        <w:rPr>
          <w:rFonts w:ascii="Times New Roman" w:eastAsia="Times New Roman" w:hAnsi="Times New Roman" w:cs="Times New Roman"/>
          <w:color w:val="auto"/>
          <w:sz w:val="24"/>
          <w:szCs w:val="24"/>
        </w:rPr>
        <w:t xml:space="preserve"> or unallowable </w:t>
      </w:r>
      <w:r w:rsidR="00141D59" w:rsidRPr="00A071CE">
        <w:rPr>
          <w:rFonts w:ascii="Times New Roman" w:eastAsia="Times New Roman" w:hAnsi="Times New Roman" w:cs="Times New Roman"/>
          <w:color w:val="auto"/>
          <w:sz w:val="24"/>
          <w:szCs w:val="24"/>
        </w:rPr>
        <w:t>expenses and</w:t>
      </w:r>
      <w:r w:rsidR="00612DEB" w:rsidRPr="00A071CE">
        <w:rPr>
          <w:rFonts w:ascii="Times New Roman" w:eastAsia="Times New Roman" w:hAnsi="Times New Roman" w:cs="Times New Roman"/>
          <w:color w:val="auto"/>
          <w:sz w:val="24"/>
          <w:szCs w:val="24"/>
        </w:rPr>
        <w:t xml:space="preserve"> must not result in a larger Total Award Value than the identified as the “competition </w:t>
      </w:r>
      <w:r w:rsidR="00612DEB" w:rsidRPr="00A071CE">
        <w:rPr>
          <w:rFonts w:ascii="Times New Roman" w:eastAsia="Times New Roman" w:hAnsi="Times New Roman" w:cs="Times New Roman"/>
          <w:color w:val="auto"/>
          <w:sz w:val="24"/>
          <w:szCs w:val="24"/>
        </w:rPr>
        <w:lastRenderedPageBreak/>
        <w:t>ceiling</w:t>
      </w:r>
      <w:r w:rsidR="00787314" w:rsidRPr="00A071CE">
        <w:rPr>
          <w:rFonts w:ascii="Times New Roman" w:eastAsia="Times New Roman" w:hAnsi="Times New Roman" w:cs="Times New Roman"/>
          <w:color w:val="auto"/>
          <w:sz w:val="24"/>
          <w:szCs w:val="24"/>
        </w:rPr>
        <w:t>.”</w:t>
      </w:r>
      <w:r w:rsidR="00612DEB" w:rsidRPr="00A071CE">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A071CE">
        <w:rPr>
          <w:rFonts w:ascii="Times New Roman" w:eastAsia="Times New Roman" w:hAnsi="Times New Roman" w:cs="Times New Roman"/>
          <w:color w:val="auto"/>
          <w:sz w:val="24"/>
          <w:szCs w:val="24"/>
        </w:rPr>
        <w:t>.”</w:t>
      </w:r>
    </w:p>
    <w:p w14:paraId="2D2F6994" w14:textId="77777777" w:rsidR="006448FC" w:rsidRPr="00A071CE" w:rsidRDefault="006448FC" w:rsidP="00141D59">
      <w:pPr>
        <w:pStyle w:val="ListParagraph"/>
        <w:spacing w:after="0" w:line="240" w:lineRule="auto"/>
        <w:ind w:left="1440"/>
        <w:rPr>
          <w:rFonts w:ascii="Times New Roman" w:eastAsia="Times New Roman" w:hAnsi="Times New Roman" w:cs="Times New Roman"/>
          <w:sz w:val="24"/>
          <w:szCs w:val="24"/>
        </w:rPr>
      </w:pPr>
    </w:p>
    <w:p w14:paraId="0EF21036" w14:textId="71F589D9" w:rsidR="006448FC" w:rsidRPr="00A071CE" w:rsidRDefault="00F52971" w:rsidP="00141D59">
      <w:pPr>
        <w:pStyle w:val="ListParagraph"/>
        <w:numPr>
          <w:ilvl w:val="0"/>
          <w:numId w:val="17"/>
        </w:numPr>
        <w:spacing w:after="0" w:line="240" w:lineRule="auto"/>
        <w:rPr>
          <w:rFonts w:ascii="Times New Roman" w:eastAsia="Times New Roman" w:hAnsi="Times New Roman" w:cs="Times New Roman"/>
          <w:color w:val="auto"/>
          <w:sz w:val="24"/>
          <w:szCs w:val="24"/>
        </w:rPr>
      </w:pPr>
      <w:r w:rsidRPr="00A071CE">
        <w:rPr>
          <w:rFonts w:ascii="Times New Roman" w:hAnsi="Times New Roman" w:cs="Times New Roman"/>
          <w:b/>
          <w:sz w:val="24"/>
          <w:szCs w:val="24"/>
        </w:rPr>
        <w:t>Lessons L</w:t>
      </w:r>
      <w:r w:rsidR="006448FC" w:rsidRPr="00A071CE">
        <w:rPr>
          <w:rFonts w:ascii="Times New Roman" w:hAnsi="Times New Roman" w:cs="Times New Roman"/>
          <w:b/>
          <w:sz w:val="24"/>
          <w:szCs w:val="24"/>
        </w:rPr>
        <w:t>earned</w:t>
      </w:r>
      <w:r w:rsidRPr="00A071CE">
        <w:rPr>
          <w:rFonts w:ascii="Times New Roman" w:hAnsi="Times New Roman" w:cs="Times New Roman"/>
          <w:b/>
          <w:sz w:val="24"/>
          <w:szCs w:val="24"/>
        </w:rPr>
        <w:t xml:space="preserve"> </w:t>
      </w:r>
      <w:r w:rsidRPr="00A071CE">
        <w:rPr>
          <w:rFonts w:ascii="Times New Roman" w:eastAsia="Times New Roman" w:hAnsi="Times New Roman" w:cs="Times New Roman"/>
          <w:sz w:val="24"/>
          <w:szCs w:val="24"/>
        </w:rPr>
        <w:t xml:space="preserve">(not to exceed one </w:t>
      </w:r>
      <w:r w:rsidR="00787314" w:rsidRPr="00A071CE">
        <w:rPr>
          <w:rFonts w:ascii="Times New Roman" w:eastAsia="Times New Roman" w:hAnsi="Times New Roman" w:cs="Times New Roman"/>
          <w:sz w:val="24"/>
          <w:szCs w:val="24"/>
        </w:rPr>
        <w:t>(</w:t>
      </w:r>
      <w:r w:rsidRPr="00A071CE">
        <w:rPr>
          <w:rFonts w:ascii="Times New Roman" w:eastAsia="Times New Roman" w:hAnsi="Times New Roman" w:cs="Times New Roman"/>
          <w:sz w:val="24"/>
          <w:szCs w:val="24"/>
        </w:rPr>
        <w:t>1</w:t>
      </w:r>
      <w:r w:rsidR="00787314" w:rsidRPr="00A071CE">
        <w:rPr>
          <w:rFonts w:ascii="Times New Roman" w:eastAsia="Times New Roman" w:hAnsi="Times New Roman" w:cs="Times New Roman"/>
          <w:sz w:val="24"/>
          <w:szCs w:val="24"/>
        </w:rPr>
        <w:t>)</w:t>
      </w:r>
      <w:r w:rsidRPr="00A071CE">
        <w:rPr>
          <w:rFonts w:ascii="Times New Roman" w:eastAsia="Times New Roman" w:hAnsi="Times New Roman" w:cs="Times New Roman"/>
          <w:sz w:val="24"/>
          <w:szCs w:val="24"/>
        </w:rPr>
        <w:t xml:space="preserve"> page, preferably as a Word Document)</w:t>
      </w:r>
      <w:r w:rsidR="006448FC" w:rsidRPr="00A071CE">
        <w:rPr>
          <w:rFonts w:ascii="Times New Roman" w:hAnsi="Times New Roman" w:cs="Times New Roman"/>
          <w:sz w:val="24"/>
          <w:szCs w:val="24"/>
        </w:rPr>
        <w:t xml:space="preserve"> from past </w:t>
      </w:r>
      <w:r w:rsidR="00970F7D" w:rsidRPr="00A071CE">
        <w:rPr>
          <w:rFonts w:ascii="Times New Roman" w:hAnsi="Times New Roman" w:cs="Times New Roman"/>
          <w:sz w:val="24"/>
          <w:szCs w:val="24"/>
        </w:rPr>
        <w:t xml:space="preserve">LGBTQI+ </w:t>
      </w:r>
      <w:r w:rsidR="006448FC" w:rsidRPr="00A071CE">
        <w:rPr>
          <w:rFonts w:ascii="Times New Roman" w:hAnsi="Times New Roman" w:cs="Times New Roman"/>
          <w:sz w:val="24"/>
          <w:szCs w:val="24"/>
        </w:rPr>
        <w:t>programs</w:t>
      </w:r>
      <w:r w:rsidR="000A592E" w:rsidRPr="00A071CE">
        <w:rPr>
          <w:rFonts w:ascii="Times New Roman" w:hAnsi="Times New Roman" w:cs="Times New Roman"/>
          <w:sz w:val="24"/>
          <w:szCs w:val="24"/>
        </w:rPr>
        <w:t xml:space="preserve"> </w:t>
      </w:r>
      <w:r w:rsidR="006448FC" w:rsidRPr="00A071CE">
        <w:rPr>
          <w:rFonts w:ascii="Times New Roman" w:hAnsi="Times New Roman" w:cs="Times New Roman"/>
          <w:sz w:val="24"/>
          <w:szCs w:val="24"/>
        </w:rPr>
        <w:t>that demonstrate how the implementer has safely operated and responded to</w:t>
      </w:r>
      <w:r w:rsidR="00DB00C4" w:rsidRPr="00A071CE">
        <w:rPr>
          <w:rFonts w:ascii="Times New Roman" w:hAnsi="Times New Roman" w:cs="Times New Roman"/>
          <w:sz w:val="24"/>
          <w:szCs w:val="24"/>
        </w:rPr>
        <w:t xml:space="preserve"> programmatic</w:t>
      </w:r>
      <w:r w:rsidR="006448FC" w:rsidRPr="00A071CE">
        <w:rPr>
          <w:rFonts w:ascii="Times New Roman" w:hAnsi="Times New Roman" w:cs="Times New Roman"/>
          <w:sz w:val="24"/>
          <w:szCs w:val="24"/>
        </w:rPr>
        <w:t xml:space="preserve"> challenges, learning from both successes and failures, in the operating environment.  </w:t>
      </w:r>
      <w:r w:rsidR="006448FC" w:rsidRPr="00A071CE">
        <w:rPr>
          <w:rFonts w:ascii="Times New Roman" w:hAnsi="Times New Roman" w:cs="Times New Roman"/>
          <w:color w:val="auto"/>
          <w:sz w:val="24"/>
          <w:szCs w:val="24"/>
        </w:rPr>
        <w:t xml:space="preserve">To be incorporated into the </w:t>
      </w:r>
      <w:r w:rsidR="000B5C07" w:rsidRPr="00A071CE">
        <w:rPr>
          <w:rFonts w:ascii="Times New Roman" w:hAnsi="Times New Roman" w:cs="Times New Roman"/>
          <w:color w:val="auto"/>
          <w:sz w:val="24"/>
          <w:szCs w:val="24"/>
        </w:rPr>
        <w:t xml:space="preserve">ten </w:t>
      </w:r>
      <w:r w:rsidR="00787314" w:rsidRPr="00A071CE">
        <w:rPr>
          <w:rFonts w:ascii="Times New Roman" w:hAnsi="Times New Roman" w:cs="Times New Roman"/>
          <w:color w:val="auto"/>
          <w:sz w:val="24"/>
          <w:szCs w:val="24"/>
        </w:rPr>
        <w:t>(</w:t>
      </w:r>
      <w:r w:rsidR="006448FC" w:rsidRPr="00A071CE">
        <w:rPr>
          <w:rFonts w:ascii="Times New Roman" w:hAnsi="Times New Roman" w:cs="Times New Roman"/>
          <w:color w:val="auto"/>
          <w:sz w:val="24"/>
          <w:szCs w:val="24"/>
        </w:rPr>
        <w:t>10</w:t>
      </w:r>
      <w:r w:rsidR="00787314" w:rsidRPr="00A071CE">
        <w:rPr>
          <w:rFonts w:ascii="Times New Roman" w:hAnsi="Times New Roman" w:cs="Times New Roman"/>
          <w:color w:val="auto"/>
          <w:sz w:val="24"/>
          <w:szCs w:val="24"/>
        </w:rPr>
        <w:t xml:space="preserve">) </w:t>
      </w:r>
      <w:r w:rsidR="006448FC" w:rsidRPr="00A071CE">
        <w:rPr>
          <w:rFonts w:ascii="Times New Roman" w:hAnsi="Times New Roman" w:cs="Times New Roman"/>
          <w:color w:val="auto"/>
          <w:sz w:val="24"/>
          <w:szCs w:val="24"/>
        </w:rPr>
        <w:t>pages allowed for “Proposal Narrative</w:t>
      </w:r>
      <w:r w:rsidR="000B5C07" w:rsidRPr="00A071CE">
        <w:rPr>
          <w:rFonts w:ascii="Times New Roman" w:hAnsi="Times New Roman" w:cs="Times New Roman"/>
          <w:color w:val="auto"/>
          <w:sz w:val="24"/>
          <w:szCs w:val="24"/>
        </w:rPr>
        <w:t>.”</w:t>
      </w:r>
      <w:r w:rsidR="006448FC" w:rsidRPr="00A071CE">
        <w:rPr>
          <w:rFonts w:ascii="Times New Roman" w:hAnsi="Times New Roman" w:cs="Times New Roman"/>
          <w:color w:val="auto"/>
          <w:sz w:val="24"/>
          <w:szCs w:val="24"/>
        </w:rPr>
        <w:t xml:space="preserve"> </w:t>
      </w:r>
      <w:r w:rsidR="000B5C07" w:rsidRPr="00A071CE">
        <w:rPr>
          <w:rFonts w:ascii="Times New Roman" w:hAnsi="Times New Roman" w:cs="Times New Roman"/>
          <w:color w:val="auto"/>
          <w:sz w:val="24"/>
          <w:szCs w:val="24"/>
        </w:rPr>
        <w:t xml:space="preserve"> </w:t>
      </w:r>
    </w:p>
    <w:p w14:paraId="776498FE" w14:textId="77777777" w:rsidR="006448FC" w:rsidRPr="00A071CE" w:rsidRDefault="006448FC" w:rsidP="00141D59">
      <w:pPr>
        <w:pStyle w:val="ListParagraph"/>
        <w:spacing w:after="0" w:line="240" w:lineRule="auto"/>
        <w:rPr>
          <w:rFonts w:ascii="Times New Roman" w:hAnsi="Times New Roman" w:cs="Times New Roman"/>
          <w:sz w:val="24"/>
          <w:szCs w:val="24"/>
        </w:rPr>
      </w:pPr>
    </w:p>
    <w:p w14:paraId="694E3D02" w14:textId="04BE9CF7" w:rsidR="006448FC" w:rsidRPr="00A071CE" w:rsidRDefault="00F52971" w:rsidP="00141D59">
      <w:pPr>
        <w:pStyle w:val="ListParagraph"/>
        <w:numPr>
          <w:ilvl w:val="0"/>
          <w:numId w:val="17"/>
        </w:numPr>
        <w:spacing w:after="0" w:line="240" w:lineRule="auto"/>
        <w:rPr>
          <w:rFonts w:ascii="Times New Roman" w:eastAsia="Times New Roman" w:hAnsi="Times New Roman" w:cs="Times New Roman"/>
          <w:sz w:val="24"/>
          <w:szCs w:val="24"/>
        </w:rPr>
      </w:pPr>
      <w:r w:rsidRPr="00A071CE">
        <w:rPr>
          <w:rFonts w:ascii="Times New Roman" w:hAnsi="Times New Roman" w:cs="Times New Roman"/>
          <w:b/>
          <w:sz w:val="24"/>
          <w:szCs w:val="24"/>
        </w:rPr>
        <w:t>Psychosocial Assistance</w:t>
      </w:r>
      <w:r w:rsidR="0090391C" w:rsidRPr="00A071CE">
        <w:rPr>
          <w:rFonts w:ascii="Times New Roman" w:hAnsi="Times New Roman" w:cs="Times New Roman"/>
          <w:b/>
          <w:sz w:val="24"/>
          <w:szCs w:val="24"/>
        </w:rPr>
        <w:t xml:space="preserve"> </w:t>
      </w:r>
      <w:r w:rsidR="0090391C" w:rsidRPr="00A071CE">
        <w:rPr>
          <w:rFonts w:ascii="Times New Roman" w:hAnsi="Times New Roman" w:cs="Times New Roman"/>
          <w:sz w:val="24"/>
          <w:szCs w:val="24"/>
        </w:rPr>
        <w:t xml:space="preserve">(to be </w:t>
      </w:r>
      <w:r w:rsidR="0090391C" w:rsidRPr="00A071CE">
        <w:rPr>
          <w:rFonts w:ascii="Times New Roman" w:hAnsi="Times New Roman" w:cs="Times New Roman"/>
          <w:color w:val="auto"/>
          <w:sz w:val="24"/>
          <w:szCs w:val="24"/>
        </w:rPr>
        <w:t>incorporated into the ten (10) pages allowed for “Proposal Narrative,” and into “Budget” and “Budget Narrative”)</w:t>
      </w:r>
      <w:r w:rsidR="000B5C07" w:rsidRPr="00A071CE">
        <w:rPr>
          <w:rFonts w:ascii="Times New Roman" w:hAnsi="Times New Roman" w:cs="Times New Roman"/>
          <w:sz w:val="24"/>
          <w:szCs w:val="24"/>
        </w:rPr>
        <w:t>.</w:t>
      </w:r>
      <w:r w:rsidR="000B5C07" w:rsidRPr="00A071CE">
        <w:rPr>
          <w:rFonts w:ascii="Times New Roman" w:hAnsi="Times New Roman" w:cs="Times New Roman"/>
          <w:b/>
          <w:sz w:val="24"/>
          <w:szCs w:val="24"/>
        </w:rPr>
        <w:t xml:space="preserve"> </w:t>
      </w:r>
      <w:r w:rsidRPr="00A071CE">
        <w:rPr>
          <w:rFonts w:ascii="Times New Roman" w:hAnsi="Times New Roman" w:cs="Times New Roman"/>
          <w:sz w:val="24"/>
          <w:szCs w:val="24"/>
        </w:rPr>
        <w:t xml:space="preserve"> </w:t>
      </w:r>
      <w:r w:rsidR="006448FC" w:rsidRPr="00A071CE">
        <w:rPr>
          <w:rFonts w:ascii="Times New Roman" w:hAnsi="Times New Roman" w:cs="Times New Roman"/>
          <w:sz w:val="24"/>
          <w:szCs w:val="24"/>
        </w:rPr>
        <w:t>A section in the proposal</w:t>
      </w:r>
      <w:r w:rsidR="000B5C07" w:rsidRPr="00A071CE">
        <w:rPr>
          <w:rFonts w:ascii="Times New Roman" w:hAnsi="Times New Roman" w:cs="Times New Roman"/>
          <w:sz w:val="24"/>
          <w:szCs w:val="24"/>
        </w:rPr>
        <w:t>,</w:t>
      </w:r>
      <w:r w:rsidR="00F77180" w:rsidRPr="00A071CE">
        <w:rPr>
          <w:rFonts w:ascii="Times New Roman" w:hAnsi="Times New Roman" w:cs="Times New Roman"/>
          <w:sz w:val="24"/>
          <w:szCs w:val="24"/>
        </w:rPr>
        <w:t xml:space="preserve"> </w:t>
      </w:r>
      <w:r w:rsidR="006448FC" w:rsidRPr="00A071CE">
        <w:rPr>
          <w:rFonts w:ascii="Times New Roman" w:hAnsi="Times New Roman" w:cs="Times New Roman"/>
          <w:sz w:val="24"/>
          <w:szCs w:val="24"/>
        </w:rPr>
        <w:t>budget</w:t>
      </w:r>
      <w:r w:rsidR="000B5C07" w:rsidRPr="00A071CE">
        <w:rPr>
          <w:rFonts w:ascii="Times New Roman" w:hAnsi="Times New Roman" w:cs="Times New Roman"/>
          <w:sz w:val="24"/>
          <w:szCs w:val="24"/>
        </w:rPr>
        <w:t>, and budget narrative</w:t>
      </w:r>
      <w:r w:rsidR="006448FC" w:rsidRPr="00A071CE">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00141D59" w:rsidRPr="00A071CE">
        <w:rPr>
          <w:rFonts w:ascii="Times New Roman" w:hAnsi="Times New Roman" w:cs="Times New Roman"/>
          <w:sz w:val="24"/>
          <w:szCs w:val="24"/>
        </w:rPr>
        <w:t>contextually relevant</w:t>
      </w:r>
      <w:r w:rsidR="006448FC" w:rsidRPr="00A071CE">
        <w:rPr>
          <w:rFonts w:ascii="Times New Roman" w:hAnsi="Times New Roman" w:cs="Times New Roman"/>
          <w:sz w:val="24"/>
          <w:szCs w:val="24"/>
        </w:rPr>
        <w:t xml:space="preserve"> </w:t>
      </w:r>
      <w:r w:rsidR="006448FC" w:rsidRPr="00A071CE">
        <w:rPr>
          <w:rFonts w:ascii="Times New Roman" w:hAnsi="Times New Roman" w:cs="Times New Roman"/>
          <w:color w:val="auto"/>
          <w:sz w:val="24"/>
          <w:szCs w:val="24"/>
        </w:rPr>
        <w:t xml:space="preserve">support). </w:t>
      </w:r>
      <w:r w:rsidR="000B5C07" w:rsidRPr="00A071CE">
        <w:rPr>
          <w:rFonts w:ascii="Times New Roman" w:hAnsi="Times New Roman" w:cs="Times New Roman"/>
          <w:color w:val="auto"/>
          <w:sz w:val="24"/>
          <w:szCs w:val="24"/>
        </w:rPr>
        <w:t xml:space="preserve"> </w:t>
      </w:r>
    </w:p>
    <w:p w14:paraId="50C967EE" w14:textId="34C4D8DF" w:rsidR="002310F7" w:rsidRPr="00A071CE" w:rsidRDefault="006448FC" w:rsidP="00141D59">
      <w:pPr>
        <w:pStyle w:val="ListParagraph"/>
        <w:numPr>
          <w:ilvl w:val="1"/>
          <w:numId w:val="19"/>
        </w:numPr>
        <w:spacing w:after="0" w:line="240" w:lineRule="auto"/>
        <w:rPr>
          <w:rFonts w:ascii="Times New Roman" w:eastAsia="Times New Roman" w:hAnsi="Times New Roman" w:cs="Times New Roman"/>
          <w:sz w:val="24"/>
          <w:szCs w:val="24"/>
        </w:rPr>
      </w:pPr>
      <w:r w:rsidRPr="00A071CE">
        <w:rPr>
          <w:rFonts w:ascii="Times New Roman" w:eastAsia="Times New Roman" w:hAnsi="Times New Roman" w:cs="Times New Roman"/>
          <w:sz w:val="24"/>
          <w:szCs w:val="24"/>
        </w:rPr>
        <w:t xml:space="preserve">References: </w:t>
      </w:r>
      <w:r w:rsidR="000B5C07" w:rsidRPr="00A071CE">
        <w:rPr>
          <w:rFonts w:ascii="Times New Roman" w:eastAsia="Times New Roman" w:hAnsi="Times New Roman" w:cs="Times New Roman"/>
          <w:sz w:val="24"/>
          <w:szCs w:val="24"/>
        </w:rPr>
        <w:t xml:space="preserve"> </w:t>
      </w:r>
      <w:r w:rsidRPr="00A071CE">
        <w:rPr>
          <w:rFonts w:ascii="Times New Roman" w:hAnsi="Times New Roman"/>
          <w:sz w:val="24"/>
          <w:szCs w:val="24"/>
        </w:rPr>
        <w:t>For reference to international guidance, please see the following: Core Humanitarian Standard Commitment 8.9 (</w:t>
      </w:r>
      <w:hyperlink r:id="rId13" w:history="1">
        <w:r w:rsidR="00787314" w:rsidRPr="00A071CE">
          <w:rPr>
            <w:rStyle w:val="Hyperlink"/>
            <w:rFonts w:ascii="Times New Roman" w:hAnsi="Times New Roman"/>
            <w:sz w:val="24"/>
            <w:szCs w:val="24"/>
          </w:rPr>
          <w:t>https://corehumanitarianstandard.org/files/files/CHS-Guidance-Notes-and-Indicators.pdf</w:t>
        </w:r>
      </w:hyperlink>
      <w:r w:rsidRPr="00A071CE">
        <w:rPr>
          <w:rFonts w:ascii="Times New Roman" w:hAnsi="Times New Roman"/>
          <w:sz w:val="24"/>
          <w:szCs w:val="24"/>
        </w:rPr>
        <w:t>); and IASC Guidelines on Mental Health and Psycho</w:t>
      </w:r>
      <w:r w:rsidR="00E03771" w:rsidRPr="00A071CE">
        <w:rPr>
          <w:rFonts w:ascii="Times New Roman" w:hAnsi="Times New Roman"/>
          <w:sz w:val="24"/>
          <w:szCs w:val="24"/>
        </w:rPr>
        <w:t xml:space="preserve">social Support </w:t>
      </w:r>
      <w:r w:rsidR="00E03771" w:rsidRPr="00A071CE">
        <w:rPr>
          <w:rFonts w:ascii="Times New Roman" w:hAnsi="Times New Roman" w:cs="Times New Roman"/>
          <w:sz w:val="24"/>
          <w:szCs w:val="24"/>
        </w:rPr>
        <w:t>in Emergency Settings</w:t>
      </w:r>
      <w:r w:rsidRPr="00A071CE">
        <w:rPr>
          <w:rFonts w:ascii="Times New Roman" w:hAnsi="Times New Roman" w:cs="Times New Roman"/>
          <w:sz w:val="24"/>
          <w:szCs w:val="24"/>
        </w:rPr>
        <w:t xml:space="preserve"> Action Sheet 4.4 (</w:t>
      </w:r>
      <w:hyperlink r:id="rId14" w:history="1">
        <w:r w:rsidR="00787314" w:rsidRPr="00A071CE">
          <w:rPr>
            <w:rStyle w:val="Hyperlink"/>
            <w:rFonts w:ascii="Times New Roman" w:hAnsi="Times New Roman" w:cs="Times New Roman"/>
          </w:rPr>
          <w:t>http://www.who.int/mental_health/emergencies/guidelines_iasc_mental_health_psychosocial_june_2007.pdf</w:t>
        </w:r>
      </w:hyperlink>
      <w:r w:rsidR="00787314" w:rsidRPr="00A071CE">
        <w:rPr>
          <w:rFonts w:ascii="Times New Roman" w:hAnsi="Times New Roman" w:cs="Times New Roman"/>
          <w:sz w:val="24"/>
          <w:szCs w:val="24"/>
        </w:rPr>
        <w:t>)</w:t>
      </w:r>
      <w:r w:rsidRPr="00A071CE">
        <w:rPr>
          <w:rFonts w:ascii="Times New Roman" w:hAnsi="Times New Roman" w:cs="Times New Roman"/>
          <w:sz w:val="24"/>
          <w:szCs w:val="24"/>
        </w:rPr>
        <w:t>.</w:t>
      </w:r>
    </w:p>
    <w:p w14:paraId="266276D9" w14:textId="77777777" w:rsidR="00141D59" w:rsidRPr="00A071CE" w:rsidRDefault="00141D59" w:rsidP="002E593D">
      <w:pPr>
        <w:spacing w:after="0" w:line="240" w:lineRule="auto"/>
        <w:rPr>
          <w:rFonts w:ascii="Times New Roman" w:eastAsia="Times New Roman" w:hAnsi="Times New Roman" w:cs="Times New Roman"/>
          <w:sz w:val="24"/>
          <w:szCs w:val="24"/>
        </w:rPr>
      </w:pPr>
    </w:p>
    <w:p w14:paraId="5CC3FD22" w14:textId="7B632243" w:rsidR="006448FC" w:rsidRPr="00A071CE" w:rsidRDefault="0090391C" w:rsidP="00141D59">
      <w:pPr>
        <w:pStyle w:val="NoSpacing"/>
        <w:numPr>
          <w:ilvl w:val="0"/>
          <w:numId w:val="17"/>
        </w:numPr>
        <w:rPr>
          <w:rFonts w:ascii="Times New Roman" w:eastAsia="Times New Roman" w:hAnsi="Times New Roman" w:cs="Times New Roman"/>
          <w:b/>
          <w:sz w:val="24"/>
          <w:szCs w:val="24"/>
        </w:rPr>
      </w:pPr>
      <w:r w:rsidRPr="00A071CE">
        <w:rPr>
          <w:rFonts w:ascii="Times New Roman" w:eastAsia="Times New Roman" w:hAnsi="Times New Roman" w:cs="Times New Roman"/>
          <w:b/>
          <w:sz w:val="24"/>
          <w:szCs w:val="24"/>
        </w:rPr>
        <w:t>Burma Due Diligence Assessment</w:t>
      </w:r>
      <w:r w:rsidRPr="00A071CE">
        <w:rPr>
          <w:rFonts w:ascii="Times New Roman" w:eastAsia="Times New Roman" w:hAnsi="Times New Roman" w:cs="Times New Roman"/>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A071CE">
        <w:rPr>
          <w:rFonts w:ascii="Times New Roman" w:eastAsia="Times New Roman" w:hAnsi="Times New Roman" w:cs="Times New Roman"/>
          <w:b/>
          <w:sz w:val="24"/>
          <w:szCs w:val="24"/>
        </w:rPr>
        <w:t xml:space="preserve"> </w:t>
      </w:r>
      <w:r w:rsidR="009C52FE" w:rsidRPr="00A071CE">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3E29C53"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D01799">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5"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6"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pay employees within the United States will need an Employer Identification Number (EIN) from the Internal Revenue Service </w:t>
      </w:r>
      <w:r w:rsidRPr="00843E29">
        <w:rPr>
          <w:rFonts w:ascii="Times New Roman" w:eastAsia="Times New Roman" w:hAnsi="Times New Roman" w:cs="Times New Roman"/>
          <w:sz w:val="24"/>
          <w:szCs w:val="24"/>
        </w:rPr>
        <w:lastRenderedPageBreak/>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7"/>
      <w:r w:rsidR="005E2A6F">
        <w:rPr>
          <w:rFonts w:ascii="Times New Roman" w:eastAsia="Times New Roman" w:hAnsi="Times New Roman" w:cs="Times New Roman"/>
          <w:color w:val="252525"/>
          <w:sz w:val="24"/>
          <w:szCs w:val="24"/>
        </w:rPr>
        <w:t xml:space="preserve">  </w:t>
      </w:r>
      <w:hyperlink r:id="rId18"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w:t>
      </w:r>
      <w:r w:rsidRPr="000C512B">
        <w:rPr>
          <w:rFonts w:ascii="Times New Roman" w:eastAsia="Times New Roman" w:hAnsi="Times New Roman" w:cs="Times New Roman"/>
          <w:i/>
          <w:sz w:val="24"/>
          <w:szCs w:val="24"/>
        </w:rPr>
        <w:lastRenderedPageBreak/>
        <w:t xml:space="preserve">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EA6CB9A"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FF6239">
        <w:rPr>
          <w:rFonts w:ascii="Times New Roman" w:eastAsia="Times New Roman" w:hAnsi="Times New Roman" w:cs="Times New Roman"/>
          <w:b/>
          <w:sz w:val="24"/>
          <w:szCs w:val="24"/>
        </w:rPr>
        <w:t>4 MARCH, 2022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9"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970F7D" w:rsidRPr="00970F7D">
        <w:rPr>
          <w:rFonts w:ascii="Times New Roman" w:eastAsia="Times New Roman" w:hAnsi="Times New Roman" w:cs="Times New Roman"/>
          <w:b/>
          <w:sz w:val="24"/>
          <w:szCs w:val="24"/>
        </w:rPr>
        <w:t>DRL FY</w:t>
      </w:r>
      <w:r w:rsidR="00E10B16">
        <w:rPr>
          <w:rFonts w:ascii="Times New Roman" w:eastAsia="Times New Roman" w:hAnsi="Times New Roman" w:cs="Times New Roman"/>
          <w:b/>
          <w:sz w:val="24"/>
          <w:szCs w:val="24"/>
        </w:rPr>
        <w:t>20</w:t>
      </w:r>
      <w:r w:rsidR="00970F7D" w:rsidRPr="00970F7D">
        <w:rPr>
          <w:rFonts w:ascii="Times New Roman" w:eastAsia="Times New Roman" w:hAnsi="Times New Roman" w:cs="Times New Roman"/>
          <w:b/>
          <w:sz w:val="24"/>
          <w:szCs w:val="24"/>
        </w:rPr>
        <w:t>21: Global Equality Fund LGBTQI+ Programs in West Africa, Central Africa, the Middle East and North Africa, South and Central Asia, and East Asia</w:t>
      </w:r>
      <w:r w:rsidR="0004508F" w:rsidRPr="0004508F">
        <w:rPr>
          <w:rFonts w:ascii="Times New Roman" w:eastAsia="Times New Roman" w:hAnsi="Times New Roman" w:cs="Times New Roman"/>
          <w:b/>
          <w:sz w:val="24"/>
          <w:szCs w:val="24"/>
        </w:rPr>
        <w:t>,” funding opportunity number “</w:t>
      </w:r>
      <w:r w:rsidR="00A51108" w:rsidRPr="00A51108">
        <w:rPr>
          <w:rFonts w:ascii="Times New Roman" w:eastAsia="Times New Roman" w:hAnsi="Times New Roman" w:cs="Times New Roman"/>
          <w:b/>
          <w:sz w:val="24"/>
          <w:szCs w:val="24"/>
        </w:rPr>
        <w:t>SFOP0008500</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59E2085" w:rsidR="00290D8C" w:rsidRDefault="009758B8">
      <w:pPr>
        <w:spacing w:after="0" w:line="240" w:lineRule="auto"/>
      </w:pPr>
      <w:r>
        <w:rPr>
          <w:rFonts w:ascii="Times New Roman" w:eastAsia="Times New Roman" w:hAnsi="Times New Roman" w:cs="Times New Roman"/>
          <w:sz w:val="24"/>
          <w:szCs w:val="24"/>
        </w:rPr>
        <w:t>Grants.gov automatically log</w:t>
      </w:r>
      <w:r w:rsidR="006967E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lastRenderedPageBreak/>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2"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19857E5C" w:rsidR="00290D8C" w:rsidRPr="006967E5" w:rsidRDefault="002607E8">
      <w:pPr>
        <w:spacing w:after="0" w:line="240" w:lineRule="auto"/>
        <w:rPr>
          <w:b/>
          <w:bCs/>
        </w:rPr>
      </w:pPr>
      <w:r w:rsidRPr="006967E5">
        <w:rPr>
          <w:rFonts w:ascii="Times New Roman" w:eastAsia="Times New Roman" w:hAnsi="Times New Roman" w:cs="Times New Roman"/>
          <w:b/>
          <w:bCs/>
          <w:sz w:val="24"/>
          <w:szCs w:val="24"/>
        </w:rPr>
        <w:t xml:space="preserve">All application submissions must be made electronically via </w:t>
      </w:r>
      <w:hyperlink r:id="rId23"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Please note</w:t>
      </w:r>
      <w:r w:rsidR="000B7B18" w:rsidRPr="006967E5">
        <w:rPr>
          <w:rFonts w:ascii="Times New Roman" w:eastAsia="Times New Roman" w:hAnsi="Times New Roman" w:cs="Times New Roman"/>
          <w:b/>
          <w:bCs/>
          <w:sz w:val="24"/>
          <w:szCs w:val="24"/>
        </w:rPr>
        <w:t xml:space="preserve"> that</w:t>
      </w:r>
      <w:r w:rsidR="00020597" w:rsidRPr="006967E5">
        <w:rPr>
          <w:rFonts w:ascii="Times New Roman" w:eastAsia="Times New Roman" w:hAnsi="Times New Roman" w:cs="Times New Roman"/>
          <w:b/>
          <w:bCs/>
          <w:sz w:val="24"/>
          <w:szCs w:val="24"/>
        </w:rPr>
        <w:t xml:space="preserve"> </w:t>
      </w:r>
      <w:r w:rsidRPr="006967E5">
        <w:rPr>
          <w:rFonts w:ascii="Times New Roman" w:eastAsia="Times New Roman" w:hAnsi="Times New Roman" w:cs="Times New Roman"/>
          <w:b/>
          <w:bCs/>
          <w:sz w:val="24"/>
          <w:szCs w:val="24"/>
        </w:rPr>
        <w:t xml:space="preserve">the Grants.gov registration process can take </w:t>
      </w:r>
      <w:r w:rsidR="009C52FE" w:rsidRPr="006967E5">
        <w:rPr>
          <w:rFonts w:ascii="Times New Roman" w:eastAsia="Times New Roman" w:hAnsi="Times New Roman" w:cs="Times New Roman"/>
          <w:b/>
          <w:bCs/>
          <w:sz w:val="24"/>
          <w:szCs w:val="24"/>
        </w:rPr>
        <w:t xml:space="preserve">ten </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10</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 xml:space="preserve"> business days or longer, even if all registration steps are completed in a timely manner.  </w:t>
      </w:r>
    </w:p>
    <w:p w14:paraId="69BE4F46" w14:textId="77777777" w:rsidR="004E3E0C" w:rsidRDefault="004E3E0C">
      <w:pPr>
        <w:spacing w:after="0" w:line="240" w:lineRule="auto"/>
      </w:pPr>
    </w:p>
    <w:p w14:paraId="44F42A90" w14:textId="59275DB6" w:rsidR="00290D8C" w:rsidRDefault="002607E8">
      <w:pPr>
        <w:spacing w:after="0" w:line="240" w:lineRule="auto"/>
      </w:pPr>
      <w:r w:rsidRPr="005E071E">
        <w:rPr>
          <w:rFonts w:ascii="Times New Roman" w:eastAsia="Times New Roman" w:hAnsi="Times New Roman" w:cs="Times New Roman"/>
          <w:sz w:val="24"/>
          <w:szCs w:val="24"/>
        </w:rPr>
        <w:t>It is the responsibility of the applicant to ensure that it has an active registration in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Grants.gov in its </w:t>
      </w:r>
      <w:r w:rsidRPr="005E071E">
        <w:rPr>
          <w:rFonts w:ascii="Times New Roman" w:eastAsia="Times New Roman" w:hAnsi="Times New Roman" w:cs="Times New Roman"/>
          <w:sz w:val="24"/>
          <w:szCs w:val="24"/>
        </w:rPr>
        <w:lastRenderedPageBreak/>
        <w:t>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62B010FD" w14:textId="77777777" w:rsidR="006967E5" w:rsidRDefault="006967E5">
      <w:pPr>
        <w:spacing w:after="0" w:line="240" w:lineRule="auto"/>
        <w:rPr>
          <w:rFonts w:ascii="Times New Roman" w:eastAsia="Times New Roman" w:hAnsi="Times New Roman" w:cs="Times New Roman"/>
          <w:b/>
          <w:sz w:val="24"/>
          <w:szCs w:val="24"/>
        </w:rPr>
      </w:pPr>
      <w:bookmarkStart w:id="5" w:name="h.30j0zll" w:colFirst="0" w:colLast="0"/>
      <w:bookmarkEnd w:id="5"/>
    </w:p>
    <w:p w14:paraId="464FB5A3" w14:textId="7172F20F" w:rsidR="00290D8C" w:rsidRDefault="002607E8">
      <w:pPr>
        <w:spacing w:after="0" w:line="240" w:lineRule="auto"/>
      </w:pPr>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2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lastRenderedPageBreak/>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7" w:name="_Hlk87981201"/>
      <w:r w:rsidR="00EC1DE8" w:rsidRPr="001A38F4">
        <w:rPr>
          <w:rFonts w:ascii="Times New Roman" w:hAnsi="Times New Roman" w:cs="Times New Roman"/>
          <w:color w:val="auto"/>
          <w:sz w:val="24"/>
          <w:szCs w:val="24"/>
        </w:rPr>
        <w:t>Discrimination, violence, inequity, and inequality</w:t>
      </w:r>
      <w:bookmarkEnd w:id="7"/>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8"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8"/>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9" w:name="_Hlk87981246"/>
      <w:r w:rsidR="00D42785" w:rsidRPr="001A38F4">
        <w:rPr>
          <w:rFonts w:ascii="Times New Roman" w:hAnsi="Times New Roman" w:cs="Times New Roman"/>
          <w:color w:val="auto"/>
          <w:sz w:val="24"/>
          <w:szCs w:val="24"/>
        </w:rPr>
        <w:t>for underserved and underrepresented communities</w:t>
      </w:r>
      <w:bookmarkEnd w:id="9"/>
      <w:r w:rsidRPr="001A38F4">
        <w:rPr>
          <w:rFonts w:ascii="Times New Roman" w:hAnsi="Times New Roman" w:cs="Times New Roman"/>
          <w:color w:val="auto"/>
          <w:sz w:val="24"/>
          <w:szCs w:val="24"/>
        </w:rPr>
        <w:t>.  This approach should be an integral 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0" w:name="h.wxagwv88ai7a" w:colFirst="0" w:colLast="0"/>
      <w:bookmarkEnd w:id="10"/>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1" w:name="h.3znysh7" w:colFirst="0" w:colLast="0"/>
      <w:bookmarkEnd w:id="11"/>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2" w:name="h.2et92p0" w:colFirst="0" w:colLast="0"/>
      <w:bookmarkEnd w:id="12"/>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lastRenderedPageBreak/>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w:t>
      </w:r>
      <w:r w:rsidRPr="00754E7B">
        <w:rPr>
          <w:rFonts w:ascii="Times New Roman" w:eastAsia="Times New Roman" w:hAnsi="Times New Roman" w:cs="Times New Roman"/>
          <w:color w:val="auto"/>
          <w:sz w:val="24"/>
          <w:szCs w:val="24"/>
        </w:rPr>
        <w:lastRenderedPageBreak/>
        <w:t xml:space="preserve">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2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lastRenderedPageBreak/>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27"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7829C6D9" w:rsidR="0057151D" w:rsidRPr="00970F7D" w:rsidRDefault="00DC78EE" w:rsidP="00DF259E">
      <w:pPr>
        <w:spacing w:after="0" w:line="240" w:lineRule="auto"/>
        <w:rPr>
          <w:rFonts w:ascii="Times New Roman" w:hAnsi="Times New Roman" w:cs="Times New Roman"/>
          <w:b/>
          <w:bCs/>
          <w:color w:val="auto"/>
          <w:sz w:val="24"/>
          <w:szCs w:val="24"/>
        </w:rPr>
      </w:pPr>
      <w:r w:rsidRPr="00970F7D">
        <w:rPr>
          <w:rFonts w:ascii="Times New Roman" w:hAnsi="Times New Roman" w:cs="Times New Roman"/>
          <w:b/>
          <w:bCs/>
          <w:color w:val="auto"/>
          <w:sz w:val="24"/>
          <w:szCs w:val="24"/>
          <w:u w:val="single"/>
        </w:rPr>
        <w:t>Subject to TVPA for funds obligated during FY 202</w:t>
      </w:r>
      <w:r w:rsidR="002A01B1" w:rsidRPr="00970F7D">
        <w:rPr>
          <w:rFonts w:ascii="Times New Roman" w:hAnsi="Times New Roman" w:cs="Times New Roman"/>
          <w:b/>
          <w:bCs/>
          <w:color w:val="auto"/>
          <w:sz w:val="24"/>
          <w:szCs w:val="24"/>
          <w:u w:val="single"/>
        </w:rPr>
        <w:t>2</w:t>
      </w:r>
      <w:r w:rsidRPr="00970F7D">
        <w:rPr>
          <w:rFonts w:ascii="Times New Roman" w:hAnsi="Times New Roman" w:cs="Times New Roman"/>
          <w:b/>
          <w:bCs/>
          <w:color w:val="auto"/>
          <w:sz w:val="24"/>
          <w:szCs w:val="24"/>
          <w:u w:val="single"/>
        </w:rPr>
        <w:t>:</w:t>
      </w:r>
    </w:p>
    <w:p w14:paraId="72A82251" w14:textId="75BE65C5" w:rsidR="0057151D" w:rsidRPr="00970F7D" w:rsidRDefault="0057151D" w:rsidP="00DF259E">
      <w:pPr>
        <w:spacing w:after="0" w:line="240" w:lineRule="auto"/>
        <w:rPr>
          <w:rFonts w:ascii="Times New Roman" w:hAnsi="Times New Roman" w:cs="Times New Roman"/>
          <w:color w:val="auto"/>
          <w:sz w:val="24"/>
          <w:szCs w:val="24"/>
        </w:rPr>
      </w:pPr>
      <w:r w:rsidRPr="00970F7D">
        <w:rPr>
          <w:rFonts w:ascii="Times New Roman" w:hAnsi="Times New Roman" w:cs="Times New Roman"/>
          <w:b/>
          <w:bCs/>
          <w:color w:val="auto"/>
          <w:sz w:val="24"/>
          <w:szCs w:val="24"/>
        </w:rPr>
        <w:t>AF</w:t>
      </w:r>
      <w:r w:rsidRPr="00970F7D">
        <w:rPr>
          <w:rFonts w:ascii="Times New Roman" w:hAnsi="Times New Roman" w:cs="Times New Roman"/>
          <w:b/>
          <w:color w:val="auto"/>
          <w:sz w:val="24"/>
          <w:szCs w:val="24"/>
        </w:rPr>
        <w:t>:</w:t>
      </w:r>
      <w:r w:rsidRPr="00970F7D">
        <w:rPr>
          <w:rFonts w:ascii="Times New Roman" w:hAnsi="Times New Roman" w:cs="Times New Roman"/>
          <w:color w:val="auto"/>
          <w:sz w:val="24"/>
          <w:szCs w:val="24"/>
        </w:rPr>
        <w:t xml:space="preserve"> </w:t>
      </w:r>
      <w:r w:rsidR="006632F3" w:rsidRPr="00970F7D">
        <w:rPr>
          <w:rFonts w:ascii="Times New Roman" w:hAnsi="Times New Roman" w:cs="Times New Roman"/>
          <w:color w:val="auto"/>
          <w:sz w:val="24"/>
          <w:szCs w:val="24"/>
        </w:rPr>
        <w:t xml:space="preserve"> </w:t>
      </w:r>
      <w:r w:rsidR="00DC78EE" w:rsidRPr="00970F7D">
        <w:rPr>
          <w:rFonts w:ascii="Times New Roman" w:hAnsi="Times New Roman" w:cs="Times New Roman"/>
          <w:color w:val="auto"/>
          <w:sz w:val="24"/>
          <w:szCs w:val="24"/>
        </w:rPr>
        <w:t xml:space="preserve">Comoros, Eritrea, </w:t>
      </w:r>
      <w:r w:rsidR="002A01B1" w:rsidRPr="00970F7D">
        <w:rPr>
          <w:rFonts w:ascii="Times New Roman" w:hAnsi="Times New Roman" w:cs="Times New Roman"/>
          <w:color w:val="auto"/>
          <w:sz w:val="24"/>
          <w:szCs w:val="24"/>
        </w:rPr>
        <w:t xml:space="preserve">Guinea-Bissau, </w:t>
      </w:r>
      <w:r w:rsidR="00DC78EE" w:rsidRPr="00970F7D">
        <w:rPr>
          <w:rFonts w:ascii="Times New Roman" w:hAnsi="Times New Roman" w:cs="Times New Roman"/>
          <w:color w:val="auto"/>
          <w:sz w:val="24"/>
          <w:szCs w:val="24"/>
        </w:rPr>
        <w:t>South Sudan</w:t>
      </w:r>
    </w:p>
    <w:p w14:paraId="37396640" w14:textId="245328FC" w:rsidR="0057151D" w:rsidRPr="00970F7D" w:rsidRDefault="0057151D" w:rsidP="00DF259E">
      <w:pPr>
        <w:spacing w:after="0" w:line="240" w:lineRule="auto"/>
        <w:rPr>
          <w:rFonts w:ascii="Times New Roman" w:hAnsi="Times New Roman" w:cs="Times New Roman"/>
          <w:color w:val="auto"/>
          <w:sz w:val="24"/>
          <w:szCs w:val="24"/>
        </w:rPr>
      </w:pPr>
      <w:r w:rsidRPr="00970F7D">
        <w:rPr>
          <w:rFonts w:ascii="Times New Roman" w:hAnsi="Times New Roman" w:cs="Times New Roman"/>
          <w:b/>
          <w:bCs/>
          <w:color w:val="auto"/>
          <w:sz w:val="24"/>
          <w:szCs w:val="24"/>
        </w:rPr>
        <w:t xml:space="preserve">EAP: </w:t>
      </w:r>
      <w:r w:rsidR="006632F3" w:rsidRPr="00970F7D">
        <w:rPr>
          <w:rFonts w:ascii="Times New Roman" w:hAnsi="Times New Roman" w:cs="Times New Roman"/>
          <w:b/>
          <w:bCs/>
          <w:color w:val="auto"/>
          <w:sz w:val="24"/>
          <w:szCs w:val="24"/>
        </w:rPr>
        <w:t xml:space="preserve"> </w:t>
      </w:r>
      <w:r w:rsidRPr="00970F7D">
        <w:rPr>
          <w:rFonts w:ascii="Times New Roman" w:hAnsi="Times New Roman" w:cs="Times New Roman"/>
          <w:color w:val="auto"/>
          <w:sz w:val="24"/>
          <w:szCs w:val="24"/>
        </w:rPr>
        <w:t xml:space="preserve">Burma, </w:t>
      </w:r>
      <w:r w:rsidR="00DC78EE" w:rsidRPr="00970F7D">
        <w:rPr>
          <w:rFonts w:ascii="Times New Roman" w:hAnsi="Times New Roman" w:cs="Times New Roman"/>
          <w:color w:val="auto"/>
          <w:sz w:val="24"/>
          <w:szCs w:val="24"/>
        </w:rPr>
        <w:t xml:space="preserve">China (PRC), </w:t>
      </w:r>
      <w:r w:rsidR="002A01B1" w:rsidRPr="00970F7D">
        <w:rPr>
          <w:rFonts w:ascii="Times New Roman" w:hAnsi="Times New Roman" w:cs="Times New Roman"/>
          <w:color w:val="auto"/>
          <w:sz w:val="24"/>
          <w:szCs w:val="24"/>
        </w:rPr>
        <w:t>Malaysia</w:t>
      </w:r>
    </w:p>
    <w:p w14:paraId="30148396" w14:textId="69E2367B" w:rsidR="0057151D" w:rsidRPr="00970F7D" w:rsidRDefault="0057151D" w:rsidP="00DF259E">
      <w:pPr>
        <w:spacing w:after="0" w:line="240" w:lineRule="auto"/>
        <w:rPr>
          <w:rFonts w:ascii="Times New Roman" w:hAnsi="Times New Roman" w:cs="Times New Roman"/>
          <w:color w:val="auto"/>
          <w:sz w:val="24"/>
          <w:szCs w:val="24"/>
        </w:rPr>
      </w:pPr>
      <w:r w:rsidRPr="00970F7D">
        <w:rPr>
          <w:rFonts w:ascii="Times New Roman" w:hAnsi="Times New Roman" w:cs="Times New Roman"/>
          <w:b/>
          <w:bCs/>
          <w:color w:val="auto"/>
          <w:sz w:val="24"/>
          <w:szCs w:val="24"/>
        </w:rPr>
        <w:t xml:space="preserve">EUR: </w:t>
      </w:r>
      <w:r w:rsidR="006632F3" w:rsidRPr="00970F7D">
        <w:rPr>
          <w:rFonts w:ascii="Times New Roman" w:hAnsi="Times New Roman" w:cs="Times New Roman"/>
          <w:b/>
          <w:bCs/>
          <w:color w:val="auto"/>
          <w:sz w:val="24"/>
          <w:szCs w:val="24"/>
        </w:rPr>
        <w:t xml:space="preserve"> </w:t>
      </w:r>
      <w:r w:rsidRPr="00970F7D">
        <w:rPr>
          <w:rFonts w:ascii="Times New Roman" w:hAnsi="Times New Roman" w:cs="Times New Roman"/>
          <w:color w:val="auto"/>
          <w:sz w:val="24"/>
          <w:szCs w:val="24"/>
        </w:rPr>
        <w:t xml:space="preserve">Russia </w:t>
      </w:r>
    </w:p>
    <w:p w14:paraId="1E08DF45" w14:textId="52FAC5C5" w:rsidR="0057151D" w:rsidRPr="00970F7D" w:rsidRDefault="0057151D" w:rsidP="00DF259E">
      <w:pPr>
        <w:spacing w:after="0" w:line="240" w:lineRule="auto"/>
        <w:rPr>
          <w:rFonts w:ascii="Times New Roman" w:hAnsi="Times New Roman" w:cs="Times New Roman"/>
          <w:bCs/>
          <w:color w:val="auto"/>
          <w:sz w:val="24"/>
          <w:szCs w:val="24"/>
        </w:rPr>
      </w:pPr>
      <w:r w:rsidRPr="00970F7D">
        <w:rPr>
          <w:rFonts w:ascii="Times New Roman" w:hAnsi="Times New Roman" w:cs="Times New Roman"/>
          <w:b/>
          <w:bCs/>
          <w:color w:val="auto"/>
          <w:sz w:val="24"/>
          <w:szCs w:val="24"/>
        </w:rPr>
        <w:t>NEA:</w:t>
      </w:r>
      <w:r w:rsidR="00DC78EE" w:rsidRPr="00970F7D">
        <w:rPr>
          <w:rFonts w:ascii="Times New Roman" w:hAnsi="Times New Roman" w:cs="Times New Roman"/>
          <w:b/>
          <w:bCs/>
          <w:color w:val="auto"/>
          <w:sz w:val="24"/>
          <w:szCs w:val="24"/>
        </w:rPr>
        <w:t xml:space="preserve"> </w:t>
      </w:r>
      <w:r w:rsidR="006632F3" w:rsidRPr="00970F7D">
        <w:rPr>
          <w:rFonts w:ascii="Times New Roman" w:hAnsi="Times New Roman" w:cs="Times New Roman"/>
          <w:b/>
          <w:bCs/>
          <w:color w:val="auto"/>
          <w:sz w:val="24"/>
          <w:szCs w:val="24"/>
        </w:rPr>
        <w:t xml:space="preserve"> </w:t>
      </w:r>
      <w:r w:rsidR="002A01B1" w:rsidRPr="00970F7D">
        <w:rPr>
          <w:rFonts w:ascii="Times New Roman" w:hAnsi="Times New Roman" w:cs="Times New Roman"/>
          <w:color w:val="auto"/>
          <w:sz w:val="24"/>
          <w:szCs w:val="24"/>
        </w:rPr>
        <w:t>Algeria,</w:t>
      </w:r>
      <w:r w:rsidR="002A01B1" w:rsidRPr="00970F7D">
        <w:rPr>
          <w:rFonts w:ascii="Times New Roman" w:hAnsi="Times New Roman" w:cs="Times New Roman"/>
          <w:b/>
          <w:bCs/>
          <w:color w:val="auto"/>
          <w:sz w:val="24"/>
          <w:szCs w:val="24"/>
        </w:rPr>
        <w:t xml:space="preserve"> </w:t>
      </w:r>
      <w:r w:rsidR="00DC78EE" w:rsidRPr="00970F7D">
        <w:rPr>
          <w:rFonts w:ascii="Times New Roman" w:hAnsi="Times New Roman" w:cs="Times New Roman"/>
          <w:bCs/>
          <w:color w:val="auto"/>
          <w:sz w:val="24"/>
          <w:szCs w:val="24"/>
        </w:rPr>
        <w:t>Iran, Syria</w:t>
      </w:r>
    </w:p>
    <w:p w14:paraId="7981F02E" w14:textId="36BFBEA0" w:rsidR="002A01B1" w:rsidRPr="00970F7D" w:rsidRDefault="002A01B1" w:rsidP="00DF259E">
      <w:pPr>
        <w:spacing w:after="0" w:line="240" w:lineRule="auto"/>
        <w:rPr>
          <w:rFonts w:ascii="Times New Roman" w:hAnsi="Times New Roman" w:cs="Times New Roman"/>
          <w:color w:val="auto"/>
          <w:sz w:val="24"/>
          <w:szCs w:val="24"/>
        </w:rPr>
      </w:pPr>
      <w:r w:rsidRPr="00970F7D">
        <w:rPr>
          <w:rFonts w:ascii="Times New Roman" w:hAnsi="Times New Roman" w:cs="Times New Roman"/>
          <w:b/>
          <w:color w:val="auto"/>
          <w:sz w:val="24"/>
          <w:szCs w:val="24"/>
        </w:rPr>
        <w:t>SCA:</w:t>
      </w:r>
      <w:r w:rsidRPr="00970F7D">
        <w:rPr>
          <w:rFonts w:ascii="Times New Roman" w:hAnsi="Times New Roman" w:cs="Times New Roman"/>
          <w:bCs/>
          <w:color w:val="auto"/>
          <w:sz w:val="24"/>
          <w:szCs w:val="24"/>
        </w:rPr>
        <w:t xml:space="preserve">  Turkmenistan</w:t>
      </w:r>
    </w:p>
    <w:p w14:paraId="556A225F" w14:textId="064FA0B7" w:rsidR="0057151D" w:rsidRPr="00970F7D" w:rsidRDefault="0057151D" w:rsidP="00DF259E">
      <w:pPr>
        <w:spacing w:after="0" w:line="240" w:lineRule="auto"/>
        <w:rPr>
          <w:rFonts w:ascii="Times New Roman" w:hAnsi="Times New Roman" w:cs="Times New Roman"/>
          <w:color w:val="auto"/>
          <w:sz w:val="24"/>
          <w:szCs w:val="24"/>
        </w:rPr>
      </w:pPr>
      <w:r w:rsidRPr="00970F7D">
        <w:rPr>
          <w:rFonts w:ascii="Times New Roman" w:hAnsi="Times New Roman" w:cs="Times New Roman"/>
          <w:b/>
          <w:bCs/>
          <w:color w:val="auto"/>
          <w:sz w:val="24"/>
          <w:szCs w:val="24"/>
        </w:rPr>
        <w:t>WHA:</w:t>
      </w:r>
      <w:r w:rsidR="00DC78EE" w:rsidRPr="00970F7D">
        <w:rPr>
          <w:rFonts w:ascii="Times New Roman" w:hAnsi="Times New Roman" w:cs="Times New Roman"/>
          <w:b/>
          <w:bCs/>
          <w:color w:val="auto"/>
          <w:sz w:val="24"/>
          <w:szCs w:val="24"/>
        </w:rPr>
        <w:t xml:space="preserve"> </w:t>
      </w:r>
      <w:r w:rsidR="006632F3" w:rsidRPr="00970F7D">
        <w:rPr>
          <w:rFonts w:ascii="Times New Roman" w:hAnsi="Times New Roman" w:cs="Times New Roman"/>
          <w:b/>
          <w:bCs/>
          <w:color w:val="auto"/>
          <w:sz w:val="24"/>
          <w:szCs w:val="24"/>
        </w:rPr>
        <w:t xml:space="preserve"> </w:t>
      </w:r>
      <w:r w:rsidR="00DC78EE" w:rsidRPr="00970F7D">
        <w:rPr>
          <w:rFonts w:ascii="Times New Roman" w:hAnsi="Times New Roman" w:cs="Times New Roman"/>
          <w:bCs/>
          <w:color w:val="auto"/>
          <w:sz w:val="24"/>
          <w:szCs w:val="24"/>
        </w:rPr>
        <w:t xml:space="preserve">Cuba, </w:t>
      </w:r>
      <w:r w:rsidR="00957C34" w:rsidRPr="00970F7D">
        <w:rPr>
          <w:rFonts w:ascii="Times New Roman" w:hAnsi="Times New Roman" w:cs="Times New Roman"/>
          <w:bCs/>
          <w:color w:val="auto"/>
          <w:sz w:val="24"/>
          <w:szCs w:val="24"/>
        </w:rPr>
        <w:t>Nicaragua</w:t>
      </w:r>
      <w:r w:rsidR="002A01B1" w:rsidRPr="00970F7D">
        <w:rPr>
          <w:rFonts w:ascii="Times New Roman" w:hAnsi="Times New Roman" w:cs="Times New Roman"/>
          <w:bCs/>
          <w:color w:val="auto"/>
          <w:sz w:val="24"/>
          <w:szCs w:val="24"/>
        </w:rPr>
        <w:t>,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C9CE31E" w14:textId="56720149" w:rsidR="00DA36CE" w:rsidRPr="006967E5"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28" w:history="1">
        <w:r w:rsidR="00455062" w:rsidRPr="00CE12A6">
          <w:rPr>
            <w:rStyle w:val="Hyperlink"/>
            <w:rFonts w:ascii="Times New Roman" w:eastAsia="Times New Roman" w:hAnsi="Times New Roman" w:cs="Times New Roman"/>
            <w:sz w:val="24"/>
            <w:szCs w:val="24"/>
          </w:rPr>
          <w:t>globalequailty@state.gov</w:t>
        </w:r>
      </w:hyperlink>
      <w:r w:rsidR="00455062">
        <w:rPr>
          <w:rFonts w:ascii="Times New Roman" w:eastAsia="Times New Roman" w:hAnsi="Times New Roman" w:cs="Times New Roman"/>
          <w:sz w:val="24"/>
          <w:szCs w:val="24"/>
        </w:rPr>
        <w:t>.</w:t>
      </w:r>
    </w:p>
    <w:p w14:paraId="03C7BE04" w14:textId="77777777" w:rsidR="006967E5" w:rsidRDefault="006967E5" w:rsidP="00DA36CE">
      <w:pPr>
        <w:pStyle w:val="NoSpacing"/>
        <w:rPr>
          <w:rFonts w:ascii="Times New Roman" w:eastAsia="Times New Roman" w:hAnsi="Times New Roman" w:cs="Times New Roman"/>
          <w:sz w:val="24"/>
          <w:szCs w:val="24"/>
        </w:rPr>
      </w:pPr>
    </w:p>
    <w:p w14:paraId="79C1A278" w14:textId="31C593E6"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29"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3"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02689D" w:rsidP="00DA36CE">
      <w:pPr>
        <w:pStyle w:val="NoSpacing"/>
        <w:rPr>
          <w:rFonts w:ascii="Times New Roman" w:hAnsi="Times New Roman" w:cs="Times New Roman"/>
          <w:sz w:val="24"/>
          <w:szCs w:val="24"/>
        </w:rPr>
      </w:pPr>
      <w:hyperlink r:id="rId30" w:history="1">
        <w:r w:rsidR="00E63800" w:rsidRPr="00E63800">
          <w:rPr>
            <w:rStyle w:val="Hyperlink"/>
            <w:rFonts w:ascii="Times New Roman" w:hAnsi="Times New Roman" w:cs="Times New Roman"/>
            <w:sz w:val="24"/>
            <w:szCs w:val="24"/>
          </w:rPr>
          <w:t>https://www.opm.gov/policy-data-oversight/pay-leave/federal-holidays/</w:t>
        </w:r>
      </w:hyperlink>
    </w:p>
    <w:bookmarkEnd w:id="13"/>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1"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2"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3"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4" w:name="h.3dy6vkm" w:colFirst="0" w:colLast="0"/>
      <w:bookmarkEnd w:id="14"/>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4"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35"/>
      <w:footerReference w:type="default" r:id="rId36"/>
      <w:footerReference w:type="firs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2A02" w14:textId="77777777" w:rsidR="00D23DFF" w:rsidRDefault="00D23DFF">
      <w:pPr>
        <w:spacing w:after="0" w:line="240" w:lineRule="auto"/>
      </w:pPr>
      <w:r>
        <w:separator/>
      </w:r>
    </w:p>
  </w:endnote>
  <w:endnote w:type="continuationSeparator" w:id="0">
    <w:p w14:paraId="0BF478AD" w14:textId="77777777" w:rsidR="00D23DFF" w:rsidRDefault="00D2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1DBC" w14:textId="77777777" w:rsidR="00D23DFF" w:rsidRDefault="00D23DFF">
      <w:pPr>
        <w:spacing w:after="0" w:line="240" w:lineRule="auto"/>
      </w:pPr>
      <w:r>
        <w:separator/>
      </w:r>
    </w:p>
  </w:footnote>
  <w:footnote w:type="continuationSeparator" w:id="0">
    <w:p w14:paraId="63090872" w14:textId="77777777" w:rsidR="00D23DFF" w:rsidRDefault="00D23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9297914"/>
    <w:multiLevelType w:val="hybridMultilevel"/>
    <w:tmpl w:val="93D02FB8"/>
    <w:lvl w:ilvl="0" w:tplc="EC8A1DB0">
      <w:start w:val="1"/>
      <w:numFmt w:val="bullet"/>
      <w:lvlText w:val=""/>
      <w:lvlJc w:val="left"/>
      <w:pPr>
        <w:ind w:left="720" w:hanging="360"/>
      </w:pPr>
      <w:rPr>
        <w:rFonts w:ascii="Symbol" w:hAnsi="Symbol" w:hint="default"/>
      </w:rPr>
    </w:lvl>
    <w:lvl w:ilvl="1" w:tplc="3DDA3B2E">
      <w:start w:val="1"/>
      <w:numFmt w:val="bullet"/>
      <w:lvlText w:val="o"/>
      <w:lvlJc w:val="left"/>
      <w:pPr>
        <w:ind w:left="1440" w:hanging="360"/>
      </w:pPr>
      <w:rPr>
        <w:rFonts w:ascii="Courier New" w:hAnsi="Courier New" w:hint="default"/>
      </w:rPr>
    </w:lvl>
    <w:lvl w:ilvl="2" w:tplc="AB625F38">
      <w:start w:val="1"/>
      <w:numFmt w:val="bullet"/>
      <w:lvlText w:val=""/>
      <w:lvlJc w:val="left"/>
      <w:pPr>
        <w:ind w:left="2160" w:hanging="360"/>
      </w:pPr>
      <w:rPr>
        <w:rFonts w:ascii="Wingdings" w:hAnsi="Wingdings" w:hint="default"/>
      </w:rPr>
    </w:lvl>
    <w:lvl w:ilvl="3" w:tplc="6838BC82">
      <w:start w:val="1"/>
      <w:numFmt w:val="bullet"/>
      <w:lvlText w:val=""/>
      <w:lvlJc w:val="left"/>
      <w:pPr>
        <w:ind w:left="2880" w:hanging="360"/>
      </w:pPr>
      <w:rPr>
        <w:rFonts w:ascii="Symbol" w:hAnsi="Symbol" w:hint="default"/>
      </w:rPr>
    </w:lvl>
    <w:lvl w:ilvl="4" w:tplc="3D703CA0">
      <w:start w:val="1"/>
      <w:numFmt w:val="bullet"/>
      <w:lvlText w:val="o"/>
      <w:lvlJc w:val="left"/>
      <w:pPr>
        <w:ind w:left="3600" w:hanging="360"/>
      </w:pPr>
      <w:rPr>
        <w:rFonts w:ascii="Courier New" w:hAnsi="Courier New" w:hint="default"/>
      </w:rPr>
    </w:lvl>
    <w:lvl w:ilvl="5" w:tplc="52A60BB0">
      <w:start w:val="1"/>
      <w:numFmt w:val="bullet"/>
      <w:lvlText w:val=""/>
      <w:lvlJc w:val="left"/>
      <w:pPr>
        <w:ind w:left="4320" w:hanging="360"/>
      </w:pPr>
      <w:rPr>
        <w:rFonts w:ascii="Wingdings" w:hAnsi="Wingdings" w:hint="default"/>
      </w:rPr>
    </w:lvl>
    <w:lvl w:ilvl="6" w:tplc="DC4E153A">
      <w:start w:val="1"/>
      <w:numFmt w:val="bullet"/>
      <w:lvlText w:val=""/>
      <w:lvlJc w:val="left"/>
      <w:pPr>
        <w:ind w:left="5040" w:hanging="360"/>
      </w:pPr>
      <w:rPr>
        <w:rFonts w:ascii="Symbol" w:hAnsi="Symbol" w:hint="default"/>
      </w:rPr>
    </w:lvl>
    <w:lvl w:ilvl="7" w:tplc="B4BE95AC">
      <w:start w:val="1"/>
      <w:numFmt w:val="bullet"/>
      <w:lvlText w:val="o"/>
      <w:lvlJc w:val="left"/>
      <w:pPr>
        <w:ind w:left="5760" w:hanging="360"/>
      </w:pPr>
      <w:rPr>
        <w:rFonts w:ascii="Courier New" w:hAnsi="Courier New" w:hint="default"/>
      </w:rPr>
    </w:lvl>
    <w:lvl w:ilvl="8" w:tplc="86E6A760">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5225354"/>
    <w:multiLevelType w:val="hybridMultilevel"/>
    <w:tmpl w:val="15EEB454"/>
    <w:lvl w:ilvl="0" w:tplc="8B140F4C">
      <w:start w:val="1"/>
      <w:numFmt w:val="bullet"/>
      <w:lvlText w:val=""/>
      <w:lvlJc w:val="left"/>
      <w:pPr>
        <w:ind w:left="720" w:hanging="360"/>
      </w:pPr>
      <w:rPr>
        <w:rFonts w:ascii="Symbol" w:hAnsi="Symbol" w:hint="default"/>
      </w:rPr>
    </w:lvl>
    <w:lvl w:ilvl="1" w:tplc="346A3502">
      <w:start w:val="1"/>
      <w:numFmt w:val="bullet"/>
      <w:lvlText w:val="o"/>
      <w:lvlJc w:val="left"/>
      <w:pPr>
        <w:ind w:left="1440" w:hanging="360"/>
      </w:pPr>
      <w:rPr>
        <w:rFonts w:ascii="Courier New" w:hAnsi="Courier New" w:hint="default"/>
      </w:rPr>
    </w:lvl>
    <w:lvl w:ilvl="2" w:tplc="03F41DCE">
      <w:start w:val="1"/>
      <w:numFmt w:val="bullet"/>
      <w:lvlText w:val=""/>
      <w:lvlJc w:val="left"/>
      <w:pPr>
        <w:ind w:left="2160" w:hanging="360"/>
      </w:pPr>
      <w:rPr>
        <w:rFonts w:ascii="Wingdings" w:hAnsi="Wingdings" w:hint="default"/>
      </w:rPr>
    </w:lvl>
    <w:lvl w:ilvl="3" w:tplc="E6FA95B0">
      <w:start w:val="1"/>
      <w:numFmt w:val="bullet"/>
      <w:lvlText w:val=""/>
      <w:lvlJc w:val="left"/>
      <w:pPr>
        <w:ind w:left="2880" w:hanging="360"/>
      </w:pPr>
      <w:rPr>
        <w:rFonts w:ascii="Symbol" w:hAnsi="Symbol" w:hint="default"/>
      </w:rPr>
    </w:lvl>
    <w:lvl w:ilvl="4" w:tplc="F6C20B8C">
      <w:start w:val="1"/>
      <w:numFmt w:val="bullet"/>
      <w:lvlText w:val="o"/>
      <w:lvlJc w:val="left"/>
      <w:pPr>
        <w:ind w:left="3600" w:hanging="360"/>
      </w:pPr>
      <w:rPr>
        <w:rFonts w:ascii="Courier New" w:hAnsi="Courier New" w:hint="default"/>
      </w:rPr>
    </w:lvl>
    <w:lvl w:ilvl="5" w:tplc="4CA01F0A">
      <w:start w:val="1"/>
      <w:numFmt w:val="bullet"/>
      <w:lvlText w:val=""/>
      <w:lvlJc w:val="left"/>
      <w:pPr>
        <w:ind w:left="4320" w:hanging="360"/>
      </w:pPr>
      <w:rPr>
        <w:rFonts w:ascii="Wingdings" w:hAnsi="Wingdings" w:hint="default"/>
      </w:rPr>
    </w:lvl>
    <w:lvl w:ilvl="6" w:tplc="4B0ECE4A">
      <w:start w:val="1"/>
      <w:numFmt w:val="bullet"/>
      <w:lvlText w:val=""/>
      <w:lvlJc w:val="left"/>
      <w:pPr>
        <w:ind w:left="5040" w:hanging="360"/>
      </w:pPr>
      <w:rPr>
        <w:rFonts w:ascii="Symbol" w:hAnsi="Symbol" w:hint="default"/>
      </w:rPr>
    </w:lvl>
    <w:lvl w:ilvl="7" w:tplc="77FEE3DE">
      <w:start w:val="1"/>
      <w:numFmt w:val="bullet"/>
      <w:lvlText w:val="o"/>
      <w:lvlJc w:val="left"/>
      <w:pPr>
        <w:ind w:left="5760" w:hanging="360"/>
      </w:pPr>
      <w:rPr>
        <w:rFonts w:ascii="Courier New" w:hAnsi="Courier New" w:hint="default"/>
      </w:rPr>
    </w:lvl>
    <w:lvl w:ilvl="8" w:tplc="58B6B17C">
      <w:start w:val="1"/>
      <w:numFmt w:val="bullet"/>
      <w:lvlText w:val=""/>
      <w:lvlJc w:val="left"/>
      <w:pPr>
        <w:ind w:left="6480" w:hanging="360"/>
      </w:pPr>
      <w:rPr>
        <w:rFonts w:ascii="Wingdings" w:hAnsi="Wingdings" w:hint="default"/>
      </w:r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03522"/>
    <w:multiLevelType w:val="hybridMultilevel"/>
    <w:tmpl w:val="4DFAD844"/>
    <w:lvl w:ilvl="0" w:tplc="3280A4F0">
      <w:start w:val="1"/>
      <w:numFmt w:val="bullet"/>
      <w:lvlText w:val=""/>
      <w:lvlJc w:val="left"/>
      <w:pPr>
        <w:ind w:left="720" w:hanging="360"/>
      </w:pPr>
      <w:rPr>
        <w:rFonts w:ascii="Symbol" w:hAnsi="Symbol" w:hint="default"/>
      </w:rPr>
    </w:lvl>
    <w:lvl w:ilvl="1" w:tplc="361C4894">
      <w:start w:val="1"/>
      <w:numFmt w:val="bullet"/>
      <w:lvlText w:val="o"/>
      <w:lvlJc w:val="left"/>
      <w:pPr>
        <w:ind w:left="1440" w:hanging="360"/>
      </w:pPr>
      <w:rPr>
        <w:rFonts w:ascii="Courier New" w:hAnsi="Courier New" w:hint="default"/>
      </w:rPr>
    </w:lvl>
    <w:lvl w:ilvl="2" w:tplc="AD7C1DB0">
      <w:start w:val="1"/>
      <w:numFmt w:val="bullet"/>
      <w:lvlText w:val=""/>
      <w:lvlJc w:val="left"/>
      <w:pPr>
        <w:ind w:left="2160" w:hanging="360"/>
      </w:pPr>
      <w:rPr>
        <w:rFonts w:ascii="Wingdings" w:hAnsi="Wingdings" w:hint="default"/>
      </w:rPr>
    </w:lvl>
    <w:lvl w:ilvl="3" w:tplc="5C18822E">
      <w:start w:val="1"/>
      <w:numFmt w:val="bullet"/>
      <w:lvlText w:val=""/>
      <w:lvlJc w:val="left"/>
      <w:pPr>
        <w:ind w:left="2880" w:hanging="360"/>
      </w:pPr>
      <w:rPr>
        <w:rFonts w:ascii="Symbol" w:hAnsi="Symbol" w:hint="default"/>
      </w:rPr>
    </w:lvl>
    <w:lvl w:ilvl="4" w:tplc="9FECC4B0">
      <w:start w:val="1"/>
      <w:numFmt w:val="bullet"/>
      <w:lvlText w:val="o"/>
      <w:lvlJc w:val="left"/>
      <w:pPr>
        <w:ind w:left="3600" w:hanging="360"/>
      </w:pPr>
      <w:rPr>
        <w:rFonts w:ascii="Courier New" w:hAnsi="Courier New" w:hint="default"/>
      </w:rPr>
    </w:lvl>
    <w:lvl w:ilvl="5" w:tplc="073CE67C">
      <w:start w:val="1"/>
      <w:numFmt w:val="bullet"/>
      <w:lvlText w:val=""/>
      <w:lvlJc w:val="left"/>
      <w:pPr>
        <w:ind w:left="4320" w:hanging="360"/>
      </w:pPr>
      <w:rPr>
        <w:rFonts w:ascii="Wingdings" w:hAnsi="Wingdings" w:hint="default"/>
      </w:rPr>
    </w:lvl>
    <w:lvl w:ilvl="6" w:tplc="AF8641A0">
      <w:start w:val="1"/>
      <w:numFmt w:val="bullet"/>
      <w:lvlText w:val=""/>
      <w:lvlJc w:val="left"/>
      <w:pPr>
        <w:ind w:left="5040" w:hanging="360"/>
      </w:pPr>
      <w:rPr>
        <w:rFonts w:ascii="Symbol" w:hAnsi="Symbol" w:hint="default"/>
      </w:rPr>
    </w:lvl>
    <w:lvl w:ilvl="7" w:tplc="FE22F79A">
      <w:start w:val="1"/>
      <w:numFmt w:val="bullet"/>
      <w:lvlText w:val="o"/>
      <w:lvlJc w:val="left"/>
      <w:pPr>
        <w:ind w:left="5760" w:hanging="360"/>
      </w:pPr>
      <w:rPr>
        <w:rFonts w:ascii="Courier New" w:hAnsi="Courier New" w:hint="default"/>
      </w:rPr>
    </w:lvl>
    <w:lvl w:ilvl="8" w:tplc="66FE7ED0">
      <w:start w:val="1"/>
      <w:numFmt w:val="bullet"/>
      <w:lvlText w:val=""/>
      <w:lvlJc w:val="left"/>
      <w:pPr>
        <w:ind w:left="6480" w:hanging="360"/>
      </w:pPr>
      <w:rPr>
        <w:rFonts w:ascii="Wingdings" w:hAnsi="Wingdings" w:hint="default"/>
      </w:r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9"/>
  </w:num>
  <w:num w:numId="3">
    <w:abstractNumId w:val="4"/>
  </w:num>
  <w:num w:numId="4">
    <w:abstractNumId w:val="21"/>
  </w:num>
  <w:num w:numId="5">
    <w:abstractNumId w:val="11"/>
  </w:num>
  <w:num w:numId="6">
    <w:abstractNumId w:val="17"/>
  </w:num>
  <w:num w:numId="7">
    <w:abstractNumId w:val="28"/>
  </w:num>
  <w:num w:numId="8">
    <w:abstractNumId w:val="13"/>
  </w:num>
  <w:num w:numId="9">
    <w:abstractNumId w:val="0"/>
  </w:num>
  <w:num w:numId="10">
    <w:abstractNumId w:val="31"/>
  </w:num>
  <w:num w:numId="11">
    <w:abstractNumId w:val="8"/>
  </w:num>
  <w:num w:numId="12">
    <w:abstractNumId w:val="26"/>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4"/>
  </w:num>
  <w:num w:numId="21">
    <w:abstractNumId w:val="12"/>
  </w:num>
  <w:num w:numId="22">
    <w:abstractNumId w:val="2"/>
  </w:num>
  <w:num w:numId="23">
    <w:abstractNumId w:val="30"/>
  </w:num>
  <w:num w:numId="24">
    <w:abstractNumId w:val="23"/>
  </w:num>
  <w:num w:numId="25">
    <w:abstractNumId w:val="3"/>
  </w:num>
  <w:num w:numId="26">
    <w:abstractNumId w:val="12"/>
  </w:num>
  <w:num w:numId="27">
    <w:abstractNumId w:val="5"/>
  </w:num>
  <w:num w:numId="28">
    <w:abstractNumId w:val="6"/>
  </w:num>
  <w:num w:numId="29">
    <w:abstractNumId w:val="25"/>
  </w:num>
  <w:num w:numId="30">
    <w:abstractNumId w:val="19"/>
  </w:num>
  <w:num w:numId="31">
    <w:abstractNumId w:val="32"/>
  </w:num>
  <w:num w:numId="32">
    <w:abstractNumId w:val="1"/>
  </w:num>
  <w:num w:numId="33">
    <w:abstractNumId w:val="22"/>
  </w:num>
  <w:num w:numId="34">
    <w:abstractNumId w:val="2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2689D"/>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1DF5"/>
    <w:rsid w:val="002A39F0"/>
    <w:rsid w:val="002A431F"/>
    <w:rsid w:val="002A6828"/>
    <w:rsid w:val="002A6DEF"/>
    <w:rsid w:val="002B0090"/>
    <w:rsid w:val="002B5CFF"/>
    <w:rsid w:val="002B7CFF"/>
    <w:rsid w:val="002C2DB8"/>
    <w:rsid w:val="002C5E91"/>
    <w:rsid w:val="002D02D8"/>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248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4C17"/>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55062"/>
    <w:rsid w:val="004627B3"/>
    <w:rsid w:val="0046461F"/>
    <w:rsid w:val="00466F5C"/>
    <w:rsid w:val="004676B5"/>
    <w:rsid w:val="00467BB2"/>
    <w:rsid w:val="00473E00"/>
    <w:rsid w:val="00484E46"/>
    <w:rsid w:val="004924EC"/>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87453"/>
    <w:rsid w:val="00694536"/>
    <w:rsid w:val="006967E5"/>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0F7D"/>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071CE"/>
    <w:rsid w:val="00A135A3"/>
    <w:rsid w:val="00A202A1"/>
    <w:rsid w:val="00A204ED"/>
    <w:rsid w:val="00A35321"/>
    <w:rsid w:val="00A41648"/>
    <w:rsid w:val="00A45AE2"/>
    <w:rsid w:val="00A47AAD"/>
    <w:rsid w:val="00A51108"/>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1799"/>
    <w:rsid w:val="00D04754"/>
    <w:rsid w:val="00D136A5"/>
    <w:rsid w:val="00D23DFF"/>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0B16"/>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 w:val="00FF6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redirect.state.sbu/?url=http://www.corehumanitarianstandard.org/files/files/CHS-Guidance-Notes-and-Indicators.pdf" TargetMode="External"/><Relationship Id="rId18" Type="http://schemas.openxmlformats.org/officeDocument/2006/relationships/hyperlink" Target="https://www.state.gov/resources-for-programs-and-grants/" TargetMode="External"/><Relationship Id="rId26" Type="http://schemas.openxmlformats.org/officeDocument/2006/relationships/hyperlink" Target="https://www.state.gov/about-us-office-of-the-procurement-executive/"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state.gov/j/drl/p/c72333.htm" TargetMode="External"/><Relationship Id="rId25" Type="http://schemas.openxmlformats.org/officeDocument/2006/relationships/hyperlink" Target="https://www.opm.gov/policy-data-oversight/pay-leave/federal-holidays/" TargetMode="External"/><Relationship Id="rId33" Type="http://schemas.openxmlformats.org/officeDocument/2006/relationships/hyperlink" Target="https://www.state.gov/bureau-of-democracy-human-rights-and-labor/programs-and-grant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mailto:support@grants.gov" TargetMode="External"/><Relationship Id="rId32" Type="http://schemas.openxmlformats.org/officeDocument/2006/relationships/hyperlink" Target="https://mygrants.servicenowservices.com"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tate.gov/bureau-of-democracy-human-rights-and-labor/programs-and-grants/"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mailto:globalequailty@state.gov" TargetMode="External"/><Relationship Id="rId36" Type="http://schemas.openxmlformats.org/officeDocument/2006/relationships/footer" Target="footer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www.grants.gov/" TargetMode="External"/><Relationship Id="rId31" Type="http://schemas.openxmlformats.org/officeDocument/2006/relationships/hyperlink" Target="file:///C:\Users\OKellyCA\AppData\Local\Microsoft\Windows\INetCache\Content.Outlook\ZN6WSCL2\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who.int/mental_health/emergencies/guidelines_iasc_mental_health_psychosocial_june_2007.pdf"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www.congress.gov/bill/115th-congress/senate-bill/1141" TargetMode="External"/><Relationship Id="rId30" Type="http://schemas.openxmlformats.org/officeDocument/2006/relationships/hyperlink" Target="https://www.opm.gov/policy-data-oversight/pay-leave/federal-holidays/"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11199</Words>
  <Characters>63835</Characters>
  <Application>Microsoft Office Word</Application>
  <DocSecurity>4</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2</cp:revision>
  <cp:lastPrinted>2021-12-23T18:09:00Z</cp:lastPrinted>
  <dcterms:created xsi:type="dcterms:W3CDTF">2021-12-27T18:10:00Z</dcterms:created>
  <dcterms:modified xsi:type="dcterms:W3CDTF">2021-12-27T18:10:00Z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