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09A916" w14:textId="77777777" w:rsidR="00EA770C" w:rsidRPr="00FE251A" w:rsidRDefault="00EA770C" w:rsidP="00FE251A">
      <w:pPr>
        <w:pStyle w:val="Heading1"/>
        <w:rPr>
          <w:rFonts w:ascii="Segoe UI" w:hAnsi="Segoe UI" w:cs="Segoe UI"/>
          <w:color w:val="000000"/>
          <w:sz w:val="18"/>
          <w:szCs w:val="18"/>
        </w:rPr>
      </w:pPr>
      <w:r w:rsidRPr="00FE251A">
        <w:rPr>
          <w:rStyle w:val="normaltextrun"/>
          <w:rFonts w:ascii="Calibri" w:hAnsi="Calibri" w:cs="Calibri"/>
          <w:b/>
          <w:bCs/>
          <w:color w:val="4472C4"/>
        </w:rPr>
        <w:t>Regional Centers for Public Health Preparedness and Response </w:t>
      </w:r>
      <w:r w:rsidRPr="00FE251A">
        <w:rPr>
          <w:rStyle w:val="eop"/>
          <w:rFonts w:ascii="Calibri" w:hAnsi="Calibri" w:cs="Calibri"/>
          <w:b/>
          <w:bCs/>
          <w:color w:val="4472C4"/>
        </w:rPr>
        <w:t> </w:t>
      </w:r>
    </w:p>
    <w:p w14:paraId="32B1D5BE" w14:textId="1CED3FA9" w:rsidR="00EA770C" w:rsidRPr="00FE251A" w:rsidRDefault="00EA770C" w:rsidP="00FE251A">
      <w:pPr>
        <w:pStyle w:val="Heading1"/>
        <w:rPr>
          <w:rFonts w:ascii="Segoe UI" w:hAnsi="Segoe UI" w:cs="Segoe UI"/>
          <w:sz w:val="18"/>
          <w:szCs w:val="18"/>
        </w:rPr>
      </w:pPr>
      <w:r w:rsidRPr="00FE251A">
        <w:rPr>
          <w:rStyle w:val="normaltextrun"/>
          <w:rFonts w:ascii="Calibri" w:hAnsi="Calibri" w:cs="Calibri"/>
          <w:b/>
          <w:bCs/>
          <w:color w:val="4472C4"/>
        </w:rPr>
        <w:t>Opportunity number: CDC-RFA-TU-24-0142</w:t>
      </w:r>
      <w:r w:rsidRPr="00FE251A">
        <w:rPr>
          <w:rStyle w:val="eop"/>
          <w:rFonts w:ascii="Calibri" w:hAnsi="Calibri" w:cs="Calibri"/>
          <w:b/>
          <w:bCs/>
          <w:color w:val="4472C4"/>
        </w:rPr>
        <w:t> </w:t>
      </w:r>
    </w:p>
    <w:p w14:paraId="72E1B975" w14:textId="7972212B" w:rsidR="00EA770C" w:rsidRDefault="00EA770C" w:rsidP="00FE251A">
      <w:pPr>
        <w:pStyle w:val="Heading1"/>
        <w:rPr>
          <w:b/>
          <w:bCs/>
        </w:rPr>
      </w:pPr>
      <w:r w:rsidRPr="00FE251A">
        <w:rPr>
          <w:b/>
          <w:bCs/>
        </w:rPr>
        <w:t>Questions, Answers and Points of Clarification</w:t>
      </w:r>
    </w:p>
    <w:p w14:paraId="7D2190DE" w14:textId="77777777" w:rsidR="00FE251A" w:rsidRDefault="00FE251A" w:rsidP="00FE251A"/>
    <w:p w14:paraId="4FE0BF64" w14:textId="337F358F" w:rsidR="00FE251A" w:rsidRPr="00FE251A" w:rsidRDefault="000B2C5E" w:rsidP="000B2C5E">
      <w:pPr>
        <w:pStyle w:val="Heading1"/>
      </w:pPr>
      <w:r>
        <w:t>General Questions</w:t>
      </w:r>
    </w:p>
    <w:p w14:paraId="41144C68" w14:textId="77777777" w:rsidR="00EA770C" w:rsidRDefault="00EA770C" w:rsidP="00EA770C">
      <w:pPr>
        <w:spacing w:after="0" w:line="240" w:lineRule="auto"/>
        <w:rPr>
          <w:rFonts w:ascii="Times New Roman" w:eastAsia="Times New Roman" w:hAnsi="Times New Roman" w:cs="Times New Roman"/>
          <w:color w:val="000000"/>
          <w:sz w:val="24"/>
          <w:szCs w:val="24"/>
        </w:rPr>
      </w:pPr>
    </w:p>
    <w:p w14:paraId="664B17C6" w14:textId="77777777" w:rsidR="00EA770C" w:rsidRPr="00FE251A" w:rsidRDefault="00EA770C" w:rsidP="00EA770C">
      <w:pPr>
        <w:spacing w:after="0" w:line="240" w:lineRule="auto"/>
        <w:rPr>
          <w:rFonts w:eastAsia="Times New Roman" w:cstheme="minorHAnsi"/>
          <w:b/>
          <w:bCs/>
          <w:color w:val="000000"/>
          <w:sz w:val="24"/>
          <w:szCs w:val="24"/>
        </w:rPr>
      </w:pPr>
      <w:r w:rsidRPr="00EA770C">
        <w:rPr>
          <w:rFonts w:eastAsia="Times New Roman" w:cstheme="minorHAnsi"/>
          <w:b/>
          <w:bCs/>
          <w:color w:val="000000"/>
          <w:sz w:val="24"/>
          <w:szCs w:val="24"/>
        </w:rPr>
        <w:t>Two different application submission dates are listed: 5/15 (in the NOFO itself?) and 5/21 (in grants.gov page?). Needs aligned/corrected.</w:t>
      </w:r>
    </w:p>
    <w:p w14:paraId="73A8BF55" w14:textId="77777777" w:rsidR="00EA770C" w:rsidRPr="00B42A1F" w:rsidRDefault="00EA770C" w:rsidP="00EA770C">
      <w:pPr>
        <w:spacing w:after="0" w:line="240" w:lineRule="auto"/>
        <w:rPr>
          <w:rFonts w:eastAsia="Times New Roman" w:cstheme="minorHAnsi"/>
          <w:color w:val="000000"/>
          <w:sz w:val="24"/>
          <w:szCs w:val="24"/>
        </w:rPr>
      </w:pPr>
    </w:p>
    <w:p w14:paraId="1D231569" w14:textId="0E9B5EBB" w:rsidR="00EA770C" w:rsidRPr="00B42A1F" w:rsidRDefault="00EA770C" w:rsidP="00EA770C">
      <w:pPr>
        <w:pStyle w:val="ListParagraph"/>
        <w:numPr>
          <w:ilvl w:val="0"/>
          <w:numId w:val="1"/>
        </w:numPr>
        <w:spacing w:after="0" w:line="240" w:lineRule="auto"/>
        <w:rPr>
          <w:rFonts w:eastAsia="Times New Roman" w:cstheme="minorHAnsi"/>
          <w:color w:val="000000"/>
          <w:sz w:val="24"/>
          <w:szCs w:val="24"/>
        </w:rPr>
      </w:pPr>
      <w:r w:rsidRPr="00B42A1F">
        <w:rPr>
          <w:rFonts w:eastAsia="Times New Roman" w:cstheme="minorHAnsi"/>
          <w:color w:val="000000"/>
          <w:sz w:val="24"/>
          <w:szCs w:val="24"/>
        </w:rPr>
        <w:t>The correct deadline is May 21st. The NOFO has been updated with the correct date.</w:t>
      </w:r>
    </w:p>
    <w:p w14:paraId="34F9E3D7" w14:textId="77777777" w:rsidR="00EA770C" w:rsidRPr="00B42A1F" w:rsidRDefault="00EA770C" w:rsidP="00EA770C">
      <w:pPr>
        <w:spacing w:after="0" w:line="240" w:lineRule="auto"/>
        <w:rPr>
          <w:rFonts w:eastAsia="Times New Roman" w:cstheme="minorHAnsi"/>
          <w:color w:val="000000"/>
          <w:sz w:val="24"/>
          <w:szCs w:val="24"/>
        </w:rPr>
      </w:pPr>
    </w:p>
    <w:p w14:paraId="1BD17D6D" w14:textId="42C3FC09" w:rsidR="00EA770C" w:rsidRPr="00FE251A" w:rsidRDefault="00EA770C" w:rsidP="00EA770C">
      <w:pPr>
        <w:spacing w:after="0" w:line="240" w:lineRule="auto"/>
        <w:rPr>
          <w:rFonts w:eastAsia="Times New Roman" w:cstheme="minorHAnsi"/>
          <w:b/>
          <w:bCs/>
          <w:color w:val="000000"/>
          <w:sz w:val="24"/>
          <w:szCs w:val="24"/>
        </w:rPr>
      </w:pPr>
      <w:r w:rsidRPr="00EA770C">
        <w:rPr>
          <w:rFonts w:eastAsia="Times New Roman" w:cstheme="minorHAnsi"/>
          <w:b/>
          <w:bCs/>
          <w:color w:val="000000"/>
          <w:sz w:val="24"/>
          <w:szCs w:val="24"/>
        </w:rPr>
        <w:t xml:space="preserve">Will next Monday's Zoom meeting for NOFO CDC-RFA-TU-0142 be recorded and distributed to registrants?  </w:t>
      </w:r>
    </w:p>
    <w:p w14:paraId="0C4F709E" w14:textId="6FD3AEAD" w:rsidR="00EA770C" w:rsidRDefault="00EA770C" w:rsidP="00EA770C">
      <w:pPr>
        <w:pStyle w:val="ListParagraph"/>
        <w:numPr>
          <w:ilvl w:val="0"/>
          <w:numId w:val="1"/>
        </w:numPr>
        <w:rPr>
          <w:rFonts w:cstheme="minorHAnsi"/>
          <w:sz w:val="24"/>
          <w:szCs w:val="24"/>
        </w:rPr>
      </w:pPr>
      <w:r w:rsidRPr="00B42A1F">
        <w:rPr>
          <w:rFonts w:cstheme="minorHAnsi"/>
          <w:sz w:val="24"/>
          <w:szCs w:val="24"/>
        </w:rPr>
        <w:t>The Zoom meeting is being recorded. The recording will be included as an attachment to the NOFO announcement on Grants.gov</w:t>
      </w:r>
      <w:r w:rsidR="00E42184">
        <w:rPr>
          <w:rFonts w:cstheme="minorHAnsi"/>
          <w:sz w:val="24"/>
          <w:szCs w:val="24"/>
        </w:rPr>
        <w:t>.</w:t>
      </w:r>
    </w:p>
    <w:p w14:paraId="6E1BEF52" w14:textId="6012B648" w:rsidR="00E42184" w:rsidRPr="00A36B96" w:rsidRDefault="00E42184" w:rsidP="00E42184">
      <w:pPr>
        <w:spacing w:after="0" w:line="240" w:lineRule="auto"/>
        <w:rPr>
          <w:rFonts w:ascii="Calibri" w:eastAsia="Times New Roman" w:hAnsi="Calibri" w:cs="Calibri"/>
          <w:b/>
          <w:bCs/>
          <w:color w:val="000000"/>
          <w:sz w:val="24"/>
          <w:szCs w:val="24"/>
        </w:rPr>
      </w:pPr>
      <w:r w:rsidRPr="00E42184">
        <w:rPr>
          <w:rFonts w:ascii="Calibri" w:eastAsia="Times New Roman" w:hAnsi="Calibri" w:cs="Calibri"/>
          <w:b/>
          <w:bCs/>
          <w:color w:val="000000"/>
          <w:sz w:val="24"/>
          <w:szCs w:val="24"/>
        </w:rPr>
        <w:t xml:space="preserve">The NOFO seems to indicate that only the organization that received CDC's FY23 award can now </w:t>
      </w:r>
      <w:proofErr w:type="gramStart"/>
      <w:r w:rsidRPr="00E42184">
        <w:rPr>
          <w:rFonts w:ascii="Calibri" w:eastAsia="Times New Roman" w:hAnsi="Calibri" w:cs="Calibri"/>
          <w:b/>
          <w:bCs/>
          <w:color w:val="000000"/>
          <w:sz w:val="24"/>
          <w:szCs w:val="24"/>
        </w:rPr>
        <w:t>submit an application</w:t>
      </w:r>
      <w:proofErr w:type="gramEnd"/>
      <w:r w:rsidRPr="00E42184">
        <w:rPr>
          <w:rFonts w:ascii="Calibri" w:eastAsia="Times New Roman" w:hAnsi="Calibri" w:cs="Calibri"/>
          <w:b/>
          <w:bCs/>
          <w:color w:val="000000"/>
          <w:sz w:val="24"/>
          <w:szCs w:val="24"/>
        </w:rPr>
        <w:t xml:space="preserve">. Is that correct? </w:t>
      </w:r>
    </w:p>
    <w:p w14:paraId="26B413EA" w14:textId="02E2F8E3" w:rsidR="00E42184" w:rsidRPr="00A36B96" w:rsidRDefault="00E42184" w:rsidP="00EA770C">
      <w:pPr>
        <w:pStyle w:val="ListParagraph"/>
        <w:numPr>
          <w:ilvl w:val="0"/>
          <w:numId w:val="1"/>
        </w:numPr>
        <w:rPr>
          <w:rFonts w:cstheme="minorHAnsi"/>
          <w:sz w:val="24"/>
          <w:szCs w:val="24"/>
        </w:rPr>
      </w:pPr>
      <w:r w:rsidRPr="00A36B96">
        <w:rPr>
          <w:rFonts w:cstheme="minorHAnsi"/>
          <w:sz w:val="24"/>
          <w:szCs w:val="24"/>
        </w:rPr>
        <w:t xml:space="preserve">No. This is a new competition. Please see the NOFO for eligibility </w:t>
      </w:r>
      <w:r w:rsidR="00A36B96" w:rsidRPr="00A36B96">
        <w:rPr>
          <w:rFonts w:cstheme="minorHAnsi"/>
          <w:sz w:val="24"/>
          <w:szCs w:val="24"/>
        </w:rPr>
        <w:t>requirements</w:t>
      </w:r>
      <w:r w:rsidRPr="00A36B96">
        <w:rPr>
          <w:rFonts w:cstheme="minorHAnsi"/>
          <w:sz w:val="24"/>
          <w:szCs w:val="24"/>
        </w:rPr>
        <w:t>.</w:t>
      </w:r>
    </w:p>
    <w:p w14:paraId="3587F33F" w14:textId="406FEC09" w:rsidR="000B2C5E" w:rsidRDefault="000B2C5E" w:rsidP="000B2C5E">
      <w:pPr>
        <w:pStyle w:val="Heading1"/>
        <w:rPr>
          <w:rFonts w:eastAsia="Times New Roman"/>
        </w:rPr>
      </w:pPr>
      <w:r>
        <w:rPr>
          <w:rFonts w:eastAsia="Times New Roman"/>
        </w:rPr>
        <w:t>Strategies Questions</w:t>
      </w:r>
    </w:p>
    <w:p w14:paraId="7317CD1D" w14:textId="77777777" w:rsidR="000B2C5E" w:rsidRDefault="000B2C5E" w:rsidP="00EA770C">
      <w:pPr>
        <w:spacing w:after="0" w:line="240" w:lineRule="auto"/>
        <w:rPr>
          <w:rFonts w:eastAsia="Times New Roman" w:cstheme="minorHAnsi"/>
          <w:b/>
          <w:bCs/>
          <w:color w:val="000000"/>
          <w:sz w:val="24"/>
          <w:szCs w:val="24"/>
        </w:rPr>
      </w:pPr>
    </w:p>
    <w:p w14:paraId="567D5EF8" w14:textId="3B8B891C" w:rsidR="00EA770C" w:rsidRPr="00FE251A" w:rsidRDefault="00EA770C" w:rsidP="00EA770C">
      <w:pPr>
        <w:spacing w:after="0" w:line="240" w:lineRule="auto"/>
        <w:rPr>
          <w:rFonts w:eastAsia="Times New Roman" w:cstheme="minorHAnsi"/>
          <w:b/>
          <w:bCs/>
          <w:color w:val="000000"/>
          <w:sz w:val="24"/>
          <w:szCs w:val="24"/>
        </w:rPr>
      </w:pPr>
      <w:r w:rsidRPr="00EA770C">
        <w:rPr>
          <w:rFonts w:eastAsia="Times New Roman" w:cstheme="minorHAnsi"/>
          <w:b/>
          <w:bCs/>
          <w:color w:val="000000"/>
          <w:sz w:val="24"/>
          <w:szCs w:val="24"/>
        </w:rPr>
        <w:t>How do we respond to the NOFO i</w:t>
      </w:r>
      <w:r w:rsidR="00B42A1F" w:rsidRPr="00FE251A">
        <w:rPr>
          <w:rFonts w:eastAsia="Times New Roman" w:cstheme="minorHAnsi"/>
          <w:b/>
          <w:bCs/>
          <w:color w:val="000000"/>
          <w:sz w:val="24"/>
          <w:szCs w:val="24"/>
        </w:rPr>
        <w:t>f</w:t>
      </w:r>
      <w:r w:rsidRPr="00EA770C">
        <w:rPr>
          <w:rFonts w:eastAsia="Times New Roman" w:cstheme="minorHAnsi"/>
          <w:b/>
          <w:bCs/>
          <w:color w:val="000000"/>
          <w:sz w:val="24"/>
          <w:szCs w:val="24"/>
        </w:rPr>
        <w:t xml:space="preserve"> the goal is now impl</w:t>
      </w:r>
      <w:r w:rsidR="00B42A1F" w:rsidRPr="00FE251A">
        <w:rPr>
          <w:rFonts w:eastAsia="Times New Roman" w:cstheme="minorHAnsi"/>
          <w:b/>
          <w:bCs/>
          <w:color w:val="000000"/>
          <w:sz w:val="24"/>
          <w:szCs w:val="24"/>
        </w:rPr>
        <w:t>emen</w:t>
      </w:r>
      <w:r w:rsidRPr="00EA770C">
        <w:rPr>
          <w:rFonts w:eastAsia="Times New Roman" w:cstheme="minorHAnsi"/>
          <w:b/>
          <w:bCs/>
          <w:color w:val="000000"/>
          <w:sz w:val="24"/>
          <w:szCs w:val="24"/>
        </w:rPr>
        <w:t>ting a workplan already developed by another grantee?</w:t>
      </w:r>
    </w:p>
    <w:p w14:paraId="495D4320" w14:textId="77777777" w:rsidR="00BA6044" w:rsidRDefault="00BA6044" w:rsidP="00EA770C">
      <w:pPr>
        <w:spacing w:after="0" w:line="240" w:lineRule="auto"/>
        <w:rPr>
          <w:rFonts w:eastAsia="Times New Roman" w:cstheme="minorHAnsi"/>
          <w:color w:val="000000"/>
          <w:sz w:val="24"/>
          <w:szCs w:val="24"/>
        </w:rPr>
      </w:pPr>
    </w:p>
    <w:p w14:paraId="3408AB2F" w14:textId="2F97D336" w:rsidR="00BA6044" w:rsidRDefault="00BA6044" w:rsidP="00BA6044">
      <w:pPr>
        <w:pStyle w:val="ListParagraph"/>
        <w:numPr>
          <w:ilvl w:val="0"/>
          <w:numId w:val="1"/>
        </w:numPr>
      </w:pPr>
      <w:r>
        <w:rPr>
          <w:rStyle w:val="normaltextrun"/>
          <w:rFonts w:ascii="Calibri" w:hAnsi="Calibri" w:cs="Calibri"/>
          <w:color w:val="1B1B1B"/>
          <w:shd w:val="clear" w:color="auto" w:fill="FFFFFF"/>
        </w:rPr>
        <w:t xml:space="preserve">This NOFO will fund recipients with the necessary </w:t>
      </w:r>
      <w:r>
        <w:rPr>
          <w:rStyle w:val="findhit"/>
          <w:rFonts w:ascii="Calibri" w:hAnsi="Calibri" w:cs="Calibri"/>
          <w:color w:val="1B1B1B"/>
          <w:shd w:val="clear" w:color="auto" w:fill="FFFFFF"/>
        </w:rPr>
        <w:t>capabilities</w:t>
      </w:r>
      <w:r>
        <w:rPr>
          <w:rStyle w:val="normaltextrun"/>
          <w:rFonts w:ascii="Calibri" w:hAnsi="Calibri" w:cs="Calibri"/>
          <w:color w:val="1B1B1B"/>
          <w:shd w:val="clear" w:color="auto" w:fill="FFFFFF"/>
        </w:rPr>
        <w:t xml:space="preserve"> including subject matter expertise; administrative infrastructure; regional, state, and local partnerships; and management </w:t>
      </w:r>
      <w:r>
        <w:rPr>
          <w:rStyle w:val="findhit"/>
          <w:rFonts w:ascii="Calibri" w:hAnsi="Calibri" w:cs="Calibri"/>
          <w:color w:val="1B1B1B"/>
          <w:shd w:val="clear" w:color="auto" w:fill="FFFFFF"/>
        </w:rPr>
        <w:t>capabilities</w:t>
      </w:r>
      <w:r>
        <w:rPr>
          <w:rStyle w:val="normaltextrun"/>
          <w:rFonts w:ascii="Calibri" w:hAnsi="Calibri" w:cs="Calibri"/>
          <w:color w:val="1B1B1B"/>
          <w:shd w:val="clear" w:color="auto" w:fill="FFFFFF"/>
        </w:rPr>
        <w:t>. Previous experience developing Five-Year Regional Work Plans and establishing regional coordinating bodies will not be considered in the review process. </w:t>
      </w:r>
      <w:r>
        <w:rPr>
          <w:rStyle w:val="eop"/>
          <w:rFonts w:ascii="Calibri" w:hAnsi="Calibri" w:cs="Calibri"/>
          <w:color w:val="1B1B1B"/>
          <w:shd w:val="clear" w:color="auto" w:fill="FFFFFF"/>
        </w:rPr>
        <w:t> </w:t>
      </w:r>
    </w:p>
    <w:p w14:paraId="04E421FF" w14:textId="19E510B3" w:rsidR="00EA770C" w:rsidRPr="00FE251A" w:rsidRDefault="00EA770C" w:rsidP="00EA770C">
      <w:pPr>
        <w:spacing w:after="0" w:line="240" w:lineRule="auto"/>
        <w:rPr>
          <w:rFonts w:eastAsia="Times New Roman" w:cstheme="minorHAnsi"/>
          <w:b/>
          <w:bCs/>
          <w:color w:val="000000"/>
          <w:sz w:val="24"/>
          <w:szCs w:val="24"/>
        </w:rPr>
      </w:pPr>
      <w:r w:rsidRPr="00EA770C">
        <w:rPr>
          <w:rFonts w:eastAsia="Times New Roman" w:cstheme="minorHAnsi"/>
          <w:color w:val="000000"/>
          <w:sz w:val="24"/>
          <w:szCs w:val="24"/>
        </w:rPr>
        <w:br/>
      </w:r>
      <w:r w:rsidRPr="00EA770C">
        <w:rPr>
          <w:rFonts w:eastAsia="Times New Roman" w:cstheme="minorHAnsi"/>
          <w:b/>
          <w:bCs/>
          <w:color w:val="000000"/>
          <w:sz w:val="24"/>
          <w:szCs w:val="24"/>
        </w:rPr>
        <w:t xml:space="preserve">Is it possible to learn about the content of the workplan so that we can both be responsive to the workplan as well as </w:t>
      </w:r>
      <w:proofErr w:type="gramStart"/>
      <w:r w:rsidRPr="00EA770C">
        <w:rPr>
          <w:rFonts w:eastAsia="Times New Roman" w:cstheme="minorHAnsi"/>
          <w:b/>
          <w:bCs/>
          <w:color w:val="000000"/>
          <w:sz w:val="24"/>
          <w:szCs w:val="24"/>
        </w:rPr>
        <w:t>propose</w:t>
      </w:r>
      <w:proofErr w:type="gramEnd"/>
      <w:r w:rsidRPr="00EA770C">
        <w:rPr>
          <w:rFonts w:eastAsia="Times New Roman" w:cstheme="minorHAnsi"/>
          <w:b/>
          <w:bCs/>
          <w:color w:val="000000"/>
          <w:sz w:val="24"/>
          <w:szCs w:val="24"/>
        </w:rPr>
        <w:t xml:space="preserve"> modifications to address the needs of vulnerable rural communities in PA and other surrounding states such as West Virginia?</w:t>
      </w:r>
    </w:p>
    <w:p w14:paraId="32D2A512" w14:textId="77777777" w:rsidR="00DB14A6" w:rsidRDefault="00DB14A6" w:rsidP="00EA770C">
      <w:pPr>
        <w:spacing w:after="0" w:line="240" w:lineRule="auto"/>
        <w:rPr>
          <w:rFonts w:eastAsia="Times New Roman" w:cstheme="minorHAnsi"/>
          <w:color w:val="000000"/>
          <w:sz w:val="24"/>
          <w:szCs w:val="24"/>
        </w:rPr>
      </w:pPr>
    </w:p>
    <w:p w14:paraId="426ABEAE" w14:textId="3B9181EE" w:rsidR="00DB14A6" w:rsidRPr="00DB14A6" w:rsidRDefault="00DB14A6" w:rsidP="00DB14A6">
      <w:pPr>
        <w:pStyle w:val="ListParagraph"/>
        <w:numPr>
          <w:ilvl w:val="0"/>
          <w:numId w:val="1"/>
        </w:numPr>
        <w:spacing w:after="0" w:line="240" w:lineRule="auto"/>
        <w:rPr>
          <w:rFonts w:eastAsia="Times New Roman" w:cstheme="minorHAnsi"/>
          <w:color w:val="000000"/>
          <w:sz w:val="24"/>
          <w:szCs w:val="24"/>
        </w:rPr>
      </w:pPr>
      <w:r>
        <w:rPr>
          <w:rFonts w:eastAsia="Times New Roman" w:cstheme="minorHAnsi"/>
          <w:color w:val="000000"/>
          <w:sz w:val="24"/>
          <w:szCs w:val="24"/>
        </w:rPr>
        <w:t xml:space="preserve">The workplans are not complete. Each Regional Coordinating Body that is informing the development of the workplan include rural representation. The NOFO is capability based. It does not request that applicants be responsive to the workplans or that applicants propose modifications to the workplans in their applications. </w:t>
      </w:r>
    </w:p>
    <w:p w14:paraId="46D8E2C2" w14:textId="36EA5B3B" w:rsidR="00EA770C" w:rsidRPr="00FE251A" w:rsidRDefault="00EA770C" w:rsidP="00EA770C">
      <w:pPr>
        <w:spacing w:after="0" w:line="240" w:lineRule="auto"/>
        <w:rPr>
          <w:rFonts w:eastAsia="Times New Roman" w:cstheme="minorHAnsi"/>
          <w:b/>
          <w:bCs/>
          <w:color w:val="000000"/>
          <w:sz w:val="24"/>
          <w:szCs w:val="24"/>
        </w:rPr>
      </w:pPr>
      <w:r w:rsidRPr="00EA770C">
        <w:rPr>
          <w:rFonts w:eastAsia="Times New Roman" w:cstheme="minorHAnsi"/>
          <w:color w:val="000000"/>
          <w:sz w:val="24"/>
          <w:szCs w:val="24"/>
        </w:rPr>
        <w:br/>
      </w:r>
      <w:r w:rsidRPr="00EA770C">
        <w:rPr>
          <w:rFonts w:eastAsia="Times New Roman" w:cstheme="minorHAnsi"/>
          <w:b/>
          <w:bCs/>
          <w:color w:val="000000"/>
          <w:sz w:val="24"/>
          <w:szCs w:val="24"/>
        </w:rPr>
        <w:t xml:space="preserve">If the </w:t>
      </w:r>
      <w:r w:rsidR="00FE251A">
        <w:rPr>
          <w:rFonts w:eastAsia="Times New Roman" w:cstheme="minorHAnsi"/>
          <w:b/>
          <w:bCs/>
          <w:color w:val="000000"/>
          <w:sz w:val="24"/>
          <w:szCs w:val="24"/>
        </w:rPr>
        <w:t>Five-Year Regional W</w:t>
      </w:r>
      <w:r w:rsidRPr="00EA770C">
        <w:rPr>
          <w:rFonts w:eastAsia="Times New Roman" w:cstheme="minorHAnsi"/>
          <w:b/>
          <w:bCs/>
          <w:color w:val="000000"/>
          <w:sz w:val="24"/>
          <w:szCs w:val="24"/>
        </w:rPr>
        <w:t>orkplan is the roadmap for implementation activities, how best to approach the team</w:t>
      </w:r>
      <w:r w:rsidR="00FE251A">
        <w:rPr>
          <w:rFonts w:eastAsia="Times New Roman" w:cstheme="minorHAnsi"/>
          <w:b/>
          <w:bCs/>
          <w:color w:val="000000"/>
          <w:sz w:val="24"/>
          <w:szCs w:val="24"/>
        </w:rPr>
        <w:t xml:space="preserve"> that is developing that workplan</w:t>
      </w:r>
      <w:r w:rsidRPr="00EA770C">
        <w:rPr>
          <w:rFonts w:eastAsia="Times New Roman" w:cstheme="minorHAnsi"/>
          <w:b/>
          <w:bCs/>
          <w:color w:val="000000"/>
          <w:sz w:val="24"/>
          <w:szCs w:val="24"/>
        </w:rPr>
        <w:t xml:space="preserve">? </w:t>
      </w:r>
    </w:p>
    <w:p w14:paraId="1F783C66" w14:textId="264839DE" w:rsidR="00DB14A6" w:rsidRPr="00DB14A6" w:rsidRDefault="00DB14A6" w:rsidP="00DB14A6">
      <w:pPr>
        <w:pStyle w:val="ListParagraph"/>
        <w:numPr>
          <w:ilvl w:val="0"/>
          <w:numId w:val="1"/>
        </w:numPr>
        <w:spacing w:after="0" w:line="240" w:lineRule="auto"/>
        <w:rPr>
          <w:rFonts w:eastAsia="Times New Roman" w:cstheme="minorHAnsi"/>
          <w:color w:val="000000"/>
          <w:sz w:val="24"/>
          <w:szCs w:val="24"/>
        </w:rPr>
      </w:pPr>
      <w:r>
        <w:rPr>
          <w:rFonts w:eastAsia="Times New Roman" w:cstheme="minorHAnsi"/>
          <w:color w:val="000000"/>
          <w:sz w:val="24"/>
          <w:szCs w:val="24"/>
        </w:rPr>
        <w:t>The Five-Year Regional Work Plans that are currently being developed under contract are not roadmaps for implementation activities. They will include focus areas, priorities, and objectives designed by Regional Coordinating Bodies. Some may include recommended activities.</w:t>
      </w:r>
    </w:p>
    <w:p w14:paraId="5543BAA4" w14:textId="77777777" w:rsidR="00BA6044" w:rsidRDefault="00BA6044" w:rsidP="00BA6044">
      <w:pPr>
        <w:ind w:left="360"/>
        <w:rPr>
          <w:rFonts w:ascii="Arial" w:hAnsi="Arial" w:cs="Arial"/>
          <w:color w:val="0000FF"/>
          <w:sz w:val="24"/>
          <w:szCs w:val="24"/>
        </w:rPr>
      </w:pPr>
    </w:p>
    <w:p w14:paraId="6DC1B886" w14:textId="788200B1" w:rsidR="00BA6044" w:rsidRPr="00A36B96" w:rsidRDefault="00BA6044" w:rsidP="00A36B96">
      <w:pPr>
        <w:rPr>
          <w:rFonts w:cstheme="minorHAnsi"/>
          <w:b/>
          <w:bCs/>
          <w:sz w:val="24"/>
          <w:szCs w:val="24"/>
        </w:rPr>
      </w:pPr>
      <w:r w:rsidRPr="00A36B96">
        <w:rPr>
          <w:rFonts w:cstheme="minorHAnsi"/>
          <w:b/>
          <w:bCs/>
          <w:sz w:val="24"/>
          <w:szCs w:val="24"/>
        </w:rPr>
        <w:t>Can we develop new components including a new workplan ignoring what already exists in Region 3?.</w:t>
      </w:r>
      <w:proofErr w:type="gramStart"/>
      <w:r w:rsidRPr="00A36B96">
        <w:rPr>
          <w:rFonts w:cstheme="minorHAnsi"/>
          <w:b/>
          <w:bCs/>
          <w:sz w:val="24"/>
          <w:szCs w:val="24"/>
        </w:rPr>
        <w:t>i.e</w:t>
      </w:r>
      <w:proofErr w:type="gramEnd"/>
      <w:r w:rsidRPr="00A36B96">
        <w:rPr>
          <w:rFonts w:cstheme="minorHAnsi"/>
          <w:b/>
          <w:bCs/>
          <w:sz w:val="24"/>
          <w:szCs w:val="24"/>
        </w:rPr>
        <w:t>, submit an application with all components based on our capabilities without being held to or have to connect to what already exists in region 3?</w:t>
      </w:r>
    </w:p>
    <w:p w14:paraId="1E0F60F8" w14:textId="4F07C6DC" w:rsidR="00BA6044" w:rsidRPr="00FE251A" w:rsidRDefault="00BA6044" w:rsidP="00BA6044">
      <w:pPr>
        <w:pStyle w:val="ListParagraph"/>
        <w:numPr>
          <w:ilvl w:val="0"/>
          <w:numId w:val="1"/>
        </w:numPr>
        <w:rPr>
          <w:sz w:val="24"/>
          <w:szCs w:val="24"/>
        </w:rPr>
      </w:pPr>
      <w:bookmarkStart w:id="0" w:name="_Hlk162864705"/>
      <w:r w:rsidRPr="00FE251A">
        <w:rPr>
          <w:rStyle w:val="normaltextrun"/>
          <w:rFonts w:ascii="Calibri" w:hAnsi="Calibri" w:cs="Calibri"/>
          <w:color w:val="1B1B1B"/>
          <w:sz w:val="24"/>
          <w:szCs w:val="24"/>
          <w:shd w:val="clear" w:color="auto" w:fill="FFFFFF"/>
        </w:rPr>
        <w:t xml:space="preserve">This NOFO will fund recipients with the necessary </w:t>
      </w:r>
      <w:r w:rsidRPr="00FE251A">
        <w:rPr>
          <w:rStyle w:val="findhit"/>
          <w:rFonts w:ascii="Calibri" w:hAnsi="Calibri" w:cs="Calibri"/>
          <w:color w:val="1B1B1B"/>
          <w:sz w:val="24"/>
          <w:szCs w:val="24"/>
          <w:shd w:val="clear" w:color="auto" w:fill="FFFFFF"/>
        </w:rPr>
        <w:t>capabilities</w:t>
      </w:r>
      <w:r w:rsidRPr="00FE251A">
        <w:rPr>
          <w:rStyle w:val="normaltextrun"/>
          <w:rFonts w:ascii="Calibri" w:hAnsi="Calibri" w:cs="Calibri"/>
          <w:color w:val="1B1B1B"/>
          <w:sz w:val="24"/>
          <w:szCs w:val="24"/>
          <w:shd w:val="clear" w:color="auto" w:fill="FFFFFF"/>
        </w:rPr>
        <w:t xml:space="preserve"> including subject matter expertise; administrative infrastructure; regional, state, and local partnerships; and management </w:t>
      </w:r>
      <w:r w:rsidRPr="00FE251A">
        <w:rPr>
          <w:rStyle w:val="findhit"/>
          <w:rFonts w:ascii="Calibri" w:hAnsi="Calibri" w:cs="Calibri"/>
          <w:color w:val="1B1B1B"/>
          <w:sz w:val="24"/>
          <w:szCs w:val="24"/>
          <w:shd w:val="clear" w:color="auto" w:fill="FFFFFF"/>
        </w:rPr>
        <w:t>capabilities</w:t>
      </w:r>
      <w:r w:rsidRPr="00FE251A">
        <w:rPr>
          <w:rStyle w:val="normaltextrun"/>
          <w:rFonts w:ascii="Calibri" w:hAnsi="Calibri" w:cs="Calibri"/>
          <w:color w:val="1B1B1B"/>
          <w:sz w:val="24"/>
          <w:szCs w:val="24"/>
          <w:shd w:val="clear" w:color="auto" w:fill="FFFFFF"/>
        </w:rPr>
        <w:t>.</w:t>
      </w:r>
    </w:p>
    <w:p w14:paraId="3C0AC4EB" w14:textId="6E0A5943" w:rsidR="00BA6044" w:rsidRPr="00FE251A" w:rsidRDefault="00BA6044" w:rsidP="00BA6044">
      <w:pPr>
        <w:pStyle w:val="ListParagraph"/>
        <w:numPr>
          <w:ilvl w:val="0"/>
          <w:numId w:val="1"/>
        </w:numPr>
        <w:rPr>
          <w:sz w:val="24"/>
          <w:szCs w:val="24"/>
        </w:rPr>
      </w:pPr>
      <w:r w:rsidRPr="00FE251A">
        <w:rPr>
          <w:sz w:val="24"/>
          <w:szCs w:val="24"/>
        </w:rPr>
        <w:t xml:space="preserve">CDC solicited and reviewed contract proposals to create regional work plans and is paying and overseeing selected vendors to create regional workplans in collaboration with regional coordinating bodies recruited to represent communities in each region and work collectively to identify needs and inform priorities for each awarded region. These workplans are being created to direct the work of each regional center. </w:t>
      </w:r>
    </w:p>
    <w:p w14:paraId="4AB4A18D" w14:textId="77777777" w:rsidR="00BA6044" w:rsidRPr="00FE251A" w:rsidRDefault="00BA6044" w:rsidP="00BA6044">
      <w:pPr>
        <w:pStyle w:val="ListParagraph"/>
        <w:numPr>
          <w:ilvl w:val="0"/>
          <w:numId w:val="1"/>
        </w:numPr>
        <w:spacing w:line="254" w:lineRule="auto"/>
        <w:rPr>
          <w:sz w:val="24"/>
          <w:szCs w:val="24"/>
        </w:rPr>
      </w:pPr>
      <w:r w:rsidRPr="00FE251A">
        <w:rPr>
          <w:sz w:val="24"/>
          <w:szCs w:val="24"/>
        </w:rPr>
        <w:t>We do not expect the centers to ignore workplans developed by the Regional Coordinating Bodies as these bodies represent the communities involved in the region.</w:t>
      </w:r>
    </w:p>
    <w:p w14:paraId="043145F7" w14:textId="77777777" w:rsidR="00BA6044" w:rsidRPr="00FE251A" w:rsidRDefault="00BA6044" w:rsidP="00BA6044">
      <w:pPr>
        <w:pStyle w:val="ListParagraph"/>
        <w:numPr>
          <w:ilvl w:val="0"/>
          <w:numId w:val="1"/>
        </w:numPr>
        <w:spacing w:after="0" w:line="240" w:lineRule="auto"/>
        <w:rPr>
          <w:rFonts w:eastAsia="Times New Roman" w:cstheme="minorHAnsi"/>
          <w:color w:val="000000"/>
          <w:sz w:val="24"/>
          <w:szCs w:val="24"/>
        </w:rPr>
      </w:pPr>
      <w:r w:rsidRPr="00FE251A">
        <w:rPr>
          <w:rFonts w:eastAsia="Times New Roman"/>
          <w:sz w:val="24"/>
          <w:szCs w:val="24"/>
        </w:rPr>
        <w:t>If, at any time, your regional center wants to modify the focus areas, priorities, or objectives in the Five-Year Regional Work Plan, you must consult with and gain approval from your Steering Committee and CDC project officer.</w:t>
      </w:r>
    </w:p>
    <w:bookmarkEnd w:id="0"/>
    <w:p w14:paraId="38053D3B" w14:textId="77777777" w:rsidR="00BA6044" w:rsidRPr="00B42A1F" w:rsidRDefault="00BA6044">
      <w:pPr>
        <w:rPr>
          <w:rFonts w:cstheme="minorHAnsi"/>
          <w:sz w:val="24"/>
          <w:szCs w:val="24"/>
        </w:rPr>
      </w:pPr>
    </w:p>
    <w:p w14:paraId="6FAF5E95" w14:textId="0987B05D" w:rsidR="00EA770C" w:rsidRPr="00A36B96" w:rsidRDefault="00CD1ABD" w:rsidP="00EA770C">
      <w:pPr>
        <w:pStyle w:val="NoSpacing"/>
        <w:rPr>
          <w:rFonts w:cstheme="minorHAnsi"/>
          <w:b/>
          <w:bCs/>
          <w:iCs/>
          <w:sz w:val="24"/>
          <w:szCs w:val="24"/>
        </w:rPr>
      </w:pPr>
      <w:r w:rsidRPr="00A36B96">
        <w:rPr>
          <w:rFonts w:eastAsia="Times New Roman"/>
          <w:b/>
          <w:bCs/>
          <w:sz w:val="24"/>
          <w:szCs w:val="24"/>
        </w:rPr>
        <w:t xml:space="preserve">If you have already approved center with a </w:t>
      </w:r>
      <w:proofErr w:type="gramStart"/>
      <w:r w:rsidRPr="00A36B96">
        <w:rPr>
          <w:rFonts w:eastAsia="Times New Roman"/>
          <w:b/>
          <w:bCs/>
          <w:sz w:val="24"/>
          <w:szCs w:val="24"/>
        </w:rPr>
        <w:t>regional plans</w:t>
      </w:r>
      <w:proofErr w:type="gramEnd"/>
      <w:r w:rsidRPr="00A36B96">
        <w:rPr>
          <w:rFonts w:eastAsia="Times New Roman"/>
          <w:b/>
          <w:bCs/>
          <w:sz w:val="24"/>
          <w:szCs w:val="24"/>
        </w:rPr>
        <w:t>, how can any new applicant participate?</w:t>
      </w:r>
    </w:p>
    <w:p w14:paraId="3BA1EF08" w14:textId="77777777" w:rsidR="009F4667" w:rsidRPr="00A36B96" w:rsidRDefault="009F4667" w:rsidP="00C24FA4">
      <w:pPr>
        <w:rPr>
          <w:sz w:val="24"/>
          <w:szCs w:val="24"/>
        </w:rPr>
      </w:pPr>
    </w:p>
    <w:p w14:paraId="067EA705" w14:textId="1949B498" w:rsidR="00C24FA4" w:rsidRPr="003D60FB" w:rsidRDefault="00C24FA4" w:rsidP="003D60FB">
      <w:pPr>
        <w:pStyle w:val="ListParagraph"/>
        <w:numPr>
          <w:ilvl w:val="0"/>
          <w:numId w:val="6"/>
        </w:numPr>
        <w:rPr>
          <w:sz w:val="24"/>
          <w:szCs w:val="24"/>
        </w:rPr>
      </w:pPr>
      <w:r w:rsidRPr="003D60FB">
        <w:rPr>
          <w:sz w:val="24"/>
          <w:szCs w:val="24"/>
        </w:rPr>
        <w:t>We have not funded centers.</w:t>
      </w:r>
    </w:p>
    <w:p w14:paraId="20700470" w14:textId="7CD644D3" w:rsidR="00C24FA4" w:rsidRPr="003D60FB" w:rsidRDefault="0049798A" w:rsidP="003D60FB">
      <w:pPr>
        <w:pStyle w:val="ListParagraph"/>
        <w:numPr>
          <w:ilvl w:val="0"/>
          <w:numId w:val="6"/>
        </w:numPr>
        <w:rPr>
          <w:sz w:val="24"/>
          <w:szCs w:val="24"/>
        </w:rPr>
      </w:pPr>
      <w:r w:rsidRPr="003D60FB">
        <w:rPr>
          <w:sz w:val="24"/>
          <w:szCs w:val="24"/>
        </w:rPr>
        <w:t xml:space="preserve">Multiple entities </w:t>
      </w:r>
      <w:r w:rsidR="00C24FA4" w:rsidRPr="003D60FB">
        <w:rPr>
          <w:sz w:val="24"/>
          <w:szCs w:val="24"/>
        </w:rPr>
        <w:t xml:space="preserve">competed for a contract to do two very specific things: 1) convene a regional coordinating body and 2) use that body to develop a five-year regional workplan. </w:t>
      </w:r>
    </w:p>
    <w:p w14:paraId="0125D2BD" w14:textId="5F24ECD9" w:rsidR="00C24FA4" w:rsidRPr="003D60FB" w:rsidRDefault="00C24FA4" w:rsidP="003D60FB">
      <w:pPr>
        <w:pStyle w:val="ListParagraph"/>
        <w:numPr>
          <w:ilvl w:val="0"/>
          <w:numId w:val="6"/>
        </w:numPr>
        <w:rPr>
          <w:sz w:val="24"/>
          <w:szCs w:val="24"/>
        </w:rPr>
      </w:pPr>
      <w:r w:rsidRPr="003D60FB">
        <w:rPr>
          <w:sz w:val="24"/>
          <w:szCs w:val="24"/>
        </w:rPr>
        <w:t xml:space="preserve">The goal of the </w:t>
      </w:r>
      <w:r w:rsidR="00AC5FE9" w:rsidRPr="003D60FB">
        <w:rPr>
          <w:sz w:val="24"/>
          <w:szCs w:val="24"/>
        </w:rPr>
        <w:t xml:space="preserve">Regional Centers for Preparedness and Response </w:t>
      </w:r>
      <w:r w:rsidRPr="003D60FB">
        <w:rPr>
          <w:sz w:val="24"/>
          <w:szCs w:val="24"/>
        </w:rPr>
        <w:t>is multi-fold. The primary and funded goal is to increase implementation of evidence-based interventions based on the plan that was developed using input from the community as represented by the regional coordinating bodies. This is all they have done.</w:t>
      </w:r>
    </w:p>
    <w:p w14:paraId="0E93B7AB" w14:textId="77777777" w:rsidR="00C24FA4" w:rsidRPr="003D60FB" w:rsidRDefault="00C24FA4" w:rsidP="003D60FB">
      <w:pPr>
        <w:pStyle w:val="ListParagraph"/>
        <w:numPr>
          <w:ilvl w:val="0"/>
          <w:numId w:val="6"/>
        </w:numPr>
        <w:rPr>
          <w:sz w:val="24"/>
          <w:szCs w:val="24"/>
        </w:rPr>
      </w:pPr>
      <w:r w:rsidRPr="003D60FB">
        <w:rPr>
          <w:sz w:val="24"/>
          <w:szCs w:val="24"/>
        </w:rPr>
        <w:t xml:space="preserve">Implementing plans, including developing and implementing evidence-based strategies, usings a different set of capabilities. In addition, establishing and maintaining a center (a main strategy) and working with a steering committee differs from the current contracted work. The NOFO is seeking entities with the capabilities to do these things. </w:t>
      </w:r>
    </w:p>
    <w:p w14:paraId="789DFDE1" w14:textId="37DAAD47" w:rsidR="00E37B1A" w:rsidRDefault="00C24FA4" w:rsidP="003D60FB">
      <w:pPr>
        <w:rPr>
          <w:iCs/>
        </w:rPr>
      </w:pPr>
      <w:r>
        <w:t xml:space="preserve"> </w:t>
      </w:r>
    </w:p>
    <w:p w14:paraId="7D98C1AF" w14:textId="6362BEDE" w:rsidR="00E37B1A" w:rsidRDefault="00E37B1A" w:rsidP="00E37B1A">
      <w:pPr>
        <w:pStyle w:val="Heading1"/>
      </w:pPr>
      <w:r>
        <w:t xml:space="preserve">NARRATIVE LENGTH </w:t>
      </w:r>
    </w:p>
    <w:p w14:paraId="07073FB8" w14:textId="77777777" w:rsidR="00E37B1A" w:rsidRDefault="00E37B1A" w:rsidP="00E37B1A">
      <w:pPr>
        <w:pStyle w:val="NoSpacing"/>
        <w:rPr>
          <w:iCs/>
        </w:rPr>
      </w:pPr>
    </w:p>
    <w:p w14:paraId="4BA1D683" w14:textId="77777777" w:rsidR="00E37B1A" w:rsidRPr="00FE251A" w:rsidRDefault="00E37B1A" w:rsidP="00E37B1A">
      <w:pPr>
        <w:spacing w:after="0" w:line="240" w:lineRule="auto"/>
        <w:rPr>
          <w:rFonts w:eastAsia="Times New Roman" w:cstheme="minorHAnsi"/>
          <w:b/>
          <w:bCs/>
          <w:color w:val="000000"/>
          <w:sz w:val="24"/>
          <w:szCs w:val="24"/>
        </w:rPr>
      </w:pPr>
      <w:r w:rsidRPr="00FE251A">
        <w:rPr>
          <w:rFonts w:eastAsia="Times New Roman" w:cstheme="minorHAnsi"/>
          <w:b/>
          <w:bCs/>
          <w:color w:val="000000"/>
          <w:sz w:val="24"/>
          <w:szCs w:val="24"/>
        </w:rPr>
        <w:t xml:space="preserve">We are applying for Components B and C.  For each, we must have a separate project narrative:  12-page limit for Component B and 7-page limit for Component C. </w:t>
      </w:r>
    </w:p>
    <w:p w14:paraId="08F669E4" w14:textId="298BF8F6" w:rsidR="00E37B1A" w:rsidRPr="00FE251A" w:rsidRDefault="00E37B1A" w:rsidP="00E37B1A">
      <w:pPr>
        <w:pStyle w:val="ListParagraph"/>
        <w:numPr>
          <w:ilvl w:val="0"/>
          <w:numId w:val="1"/>
        </w:numPr>
        <w:spacing w:after="0" w:line="240" w:lineRule="auto"/>
        <w:rPr>
          <w:rFonts w:ascii="Times New Roman" w:eastAsia="Times New Roman" w:hAnsi="Times New Roman" w:cs="Times New Roman"/>
          <w:b/>
          <w:bCs/>
          <w:color w:val="000000"/>
          <w:sz w:val="24"/>
          <w:szCs w:val="24"/>
        </w:rPr>
      </w:pPr>
      <w:r w:rsidRPr="00E37B1A">
        <w:rPr>
          <w:rFonts w:ascii="Times New Roman" w:eastAsia="Times New Roman" w:hAnsi="Times New Roman" w:cs="Times New Roman"/>
          <w:color w:val="000000"/>
          <w:sz w:val="24"/>
          <w:szCs w:val="24"/>
        </w:rPr>
        <w:t>Yes.</w:t>
      </w:r>
      <w:r w:rsidRPr="00E37B1A">
        <w:rPr>
          <w:rFonts w:ascii="Times New Roman" w:eastAsia="Times New Roman" w:hAnsi="Times New Roman" w:cs="Times New Roman"/>
          <w:color w:val="000000"/>
          <w:sz w:val="24"/>
          <w:szCs w:val="24"/>
        </w:rPr>
        <w:br/>
      </w:r>
    </w:p>
    <w:p w14:paraId="292A71A8" w14:textId="5C5703C2" w:rsidR="00E37B1A" w:rsidRPr="00FE251A" w:rsidRDefault="00E37B1A" w:rsidP="00E37B1A">
      <w:pPr>
        <w:pStyle w:val="NoSpacing"/>
        <w:rPr>
          <w:b/>
          <w:bCs/>
          <w:iCs/>
          <w:sz w:val="24"/>
          <w:szCs w:val="24"/>
        </w:rPr>
      </w:pPr>
      <w:r w:rsidRPr="00FE251A">
        <w:rPr>
          <w:b/>
          <w:bCs/>
          <w:sz w:val="24"/>
          <w:szCs w:val="24"/>
        </w:rPr>
        <w:t xml:space="preserve">If we are applying for both Strategy 10 and Strategy 11 in Component E, do we submit a separate 7-page narrative </w:t>
      </w:r>
      <w:r w:rsidRPr="00FE251A">
        <w:rPr>
          <w:b/>
          <w:bCs/>
          <w:i/>
          <w:sz w:val="24"/>
          <w:szCs w:val="24"/>
        </w:rPr>
        <w:t>for each</w:t>
      </w:r>
      <w:r w:rsidRPr="00FE251A">
        <w:rPr>
          <w:b/>
          <w:bCs/>
          <w:iCs/>
          <w:sz w:val="24"/>
          <w:szCs w:val="24"/>
        </w:rPr>
        <w:t>? Or is the length limit of 7 pages total, for both?</w:t>
      </w:r>
    </w:p>
    <w:p w14:paraId="3232AC12" w14:textId="77777777" w:rsidR="00DB14A6" w:rsidRPr="00FE251A" w:rsidRDefault="00DB14A6" w:rsidP="00DB14A6">
      <w:pPr>
        <w:pStyle w:val="NoSpacing"/>
        <w:numPr>
          <w:ilvl w:val="0"/>
          <w:numId w:val="1"/>
        </w:numPr>
        <w:rPr>
          <w:rFonts w:cstheme="minorHAnsi"/>
          <w:iCs/>
          <w:sz w:val="24"/>
          <w:szCs w:val="24"/>
        </w:rPr>
      </w:pPr>
      <w:r w:rsidRPr="00FE251A">
        <w:rPr>
          <w:rFonts w:cstheme="minorHAnsi"/>
          <w:iCs/>
          <w:sz w:val="24"/>
          <w:szCs w:val="24"/>
        </w:rPr>
        <w:t>Please include a separate 7-page narrative for each strategy you are applying for under Components D and E.</w:t>
      </w:r>
    </w:p>
    <w:p w14:paraId="6268A446" w14:textId="77777777" w:rsidR="00DB14A6" w:rsidRDefault="00DB14A6" w:rsidP="00DB14A6">
      <w:pPr>
        <w:pStyle w:val="NoSpacing"/>
        <w:rPr>
          <w:rFonts w:cstheme="minorHAnsi"/>
          <w:sz w:val="24"/>
          <w:szCs w:val="24"/>
        </w:rPr>
      </w:pPr>
    </w:p>
    <w:p w14:paraId="789BA039" w14:textId="5CFFF50C" w:rsidR="00DB14A6" w:rsidRPr="00FE251A" w:rsidRDefault="00DB14A6" w:rsidP="00DB14A6">
      <w:pPr>
        <w:pStyle w:val="NoSpacing"/>
        <w:rPr>
          <w:rFonts w:cstheme="minorHAnsi"/>
          <w:b/>
          <w:bCs/>
          <w:iCs/>
          <w:sz w:val="24"/>
          <w:szCs w:val="24"/>
        </w:rPr>
      </w:pPr>
      <w:r w:rsidRPr="00FE251A">
        <w:rPr>
          <w:rFonts w:cstheme="minorHAnsi"/>
          <w:b/>
          <w:bCs/>
          <w:sz w:val="24"/>
          <w:szCs w:val="24"/>
        </w:rPr>
        <w:t xml:space="preserve">If we are applying for both Strategy 10 and Strategy 11 in Component E, do we submit a separate 7-page narrative </w:t>
      </w:r>
      <w:r w:rsidRPr="00FE251A">
        <w:rPr>
          <w:rFonts w:cstheme="minorHAnsi"/>
          <w:b/>
          <w:bCs/>
          <w:i/>
          <w:sz w:val="24"/>
          <w:szCs w:val="24"/>
        </w:rPr>
        <w:t>for each</w:t>
      </w:r>
      <w:r w:rsidRPr="00FE251A">
        <w:rPr>
          <w:rFonts w:cstheme="minorHAnsi"/>
          <w:b/>
          <w:bCs/>
          <w:iCs/>
          <w:sz w:val="24"/>
          <w:szCs w:val="24"/>
        </w:rPr>
        <w:t>? Or is the length limit of 7 pages total, for both?</w:t>
      </w:r>
    </w:p>
    <w:p w14:paraId="4C481397" w14:textId="00878A1F" w:rsidR="00DB14A6" w:rsidRPr="00B42A1F" w:rsidRDefault="00DB14A6" w:rsidP="00DB14A6">
      <w:pPr>
        <w:pStyle w:val="NoSpacing"/>
        <w:numPr>
          <w:ilvl w:val="0"/>
          <w:numId w:val="1"/>
        </w:numPr>
        <w:rPr>
          <w:rFonts w:cstheme="minorHAnsi"/>
          <w:iCs/>
          <w:sz w:val="24"/>
          <w:szCs w:val="24"/>
        </w:rPr>
      </w:pPr>
      <w:r>
        <w:rPr>
          <w:rFonts w:cstheme="minorHAnsi"/>
          <w:iCs/>
          <w:sz w:val="24"/>
          <w:szCs w:val="24"/>
        </w:rPr>
        <w:t>Please include a separate 7-page narrative for each strategy you are applying for under Components D and E.</w:t>
      </w:r>
    </w:p>
    <w:p w14:paraId="055E975B" w14:textId="77777777" w:rsidR="00DB14A6" w:rsidRPr="00B42A1F" w:rsidRDefault="00DB14A6" w:rsidP="00DB14A6">
      <w:pPr>
        <w:pStyle w:val="NoSpacing"/>
        <w:rPr>
          <w:rFonts w:cstheme="minorHAnsi"/>
          <w:iCs/>
          <w:sz w:val="24"/>
          <w:szCs w:val="24"/>
        </w:rPr>
      </w:pPr>
    </w:p>
    <w:p w14:paraId="18E14039" w14:textId="77777777" w:rsidR="00DB14A6" w:rsidRPr="00FE251A" w:rsidRDefault="00DB14A6" w:rsidP="00DB14A6">
      <w:pPr>
        <w:pStyle w:val="NoSpacing"/>
        <w:rPr>
          <w:rFonts w:cstheme="minorHAnsi"/>
          <w:b/>
          <w:bCs/>
          <w:iCs/>
          <w:sz w:val="24"/>
          <w:szCs w:val="24"/>
        </w:rPr>
      </w:pPr>
      <w:r w:rsidRPr="00FE251A">
        <w:rPr>
          <w:rFonts w:cstheme="minorHAnsi"/>
          <w:b/>
          <w:bCs/>
          <w:iCs/>
          <w:sz w:val="24"/>
          <w:szCs w:val="24"/>
        </w:rPr>
        <w:t>Component D also comprises multiple Strategies (6, 7, 8, 9); should we plan to submit a separate 7-page narrative for every Component D Strategy for which we wish to apply? Or is Component D a single 7-page narrative for all strategies in which we are interested?</w:t>
      </w:r>
    </w:p>
    <w:p w14:paraId="76A80140" w14:textId="77777777" w:rsidR="00DB14A6" w:rsidRDefault="00DB14A6" w:rsidP="00DB14A6">
      <w:pPr>
        <w:pStyle w:val="NoSpacing"/>
        <w:numPr>
          <w:ilvl w:val="0"/>
          <w:numId w:val="1"/>
        </w:numPr>
        <w:rPr>
          <w:rFonts w:cstheme="minorHAnsi"/>
          <w:iCs/>
          <w:sz w:val="24"/>
          <w:szCs w:val="24"/>
        </w:rPr>
      </w:pPr>
      <w:r>
        <w:rPr>
          <w:rFonts w:cstheme="minorHAnsi"/>
          <w:iCs/>
          <w:sz w:val="24"/>
          <w:szCs w:val="24"/>
        </w:rPr>
        <w:t>Please include a separate 7-page narrative for each strategy you are applying for under Components D and E.</w:t>
      </w:r>
    </w:p>
    <w:p w14:paraId="08BD0CF8" w14:textId="77777777" w:rsidR="00F85936" w:rsidRDefault="00F85936" w:rsidP="00F85936">
      <w:pPr>
        <w:pStyle w:val="NoSpacing"/>
        <w:rPr>
          <w:rFonts w:cstheme="minorHAnsi"/>
          <w:iCs/>
          <w:sz w:val="24"/>
          <w:szCs w:val="24"/>
        </w:rPr>
      </w:pPr>
    </w:p>
    <w:p w14:paraId="0F02B6BB" w14:textId="36157358" w:rsidR="00F85936" w:rsidRDefault="00F85936" w:rsidP="00F85936">
      <w:pPr>
        <w:pStyle w:val="Heading1"/>
      </w:pPr>
      <w:r>
        <w:t xml:space="preserve">Project Narrative Format </w:t>
      </w:r>
    </w:p>
    <w:p w14:paraId="7628CB0B" w14:textId="77777777" w:rsidR="00F85936" w:rsidRPr="00FE251A" w:rsidRDefault="00F85936" w:rsidP="00F85936">
      <w:pPr>
        <w:pStyle w:val="NoSpacing"/>
        <w:rPr>
          <w:b/>
          <w:bCs/>
          <w:iCs/>
          <w:sz w:val="24"/>
          <w:szCs w:val="24"/>
        </w:rPr>
      </w:pPr>
      <w:r w:rsidRPr="00FE251A">
        <w:rPr>
          <w:b/>
          <w:bCs/>
          <w:iCs/>
          <w:sz w:val="24"/>
          <w:szCs w:val="24"/>
        </w:rPr>
        <w:t>On pp 39-41 of the NOFO we are provided with “project narrative requirements,” which detail required components of all narratives and then provide specific additional guidance for each component.</w:t>
      </w:r>
    </w:p>
    <w:p w14:paraId="16025E28" w14:textId="77777777" w:rsidR="00F85936" w:rsidRPr="00FE251A" w:rsidRDefault="00F85936" w:rsidP="00F85936">
      <w:pPr>
        <w:pStyle w:val="NoSpacing"/>
        <w:ind w:left="720"/>
        <w:rPr>
          <w:b/>
          <w:bCs/>
          <w:iCs/>
          <w:sz w:val="24"/>
          <w:szCs w:val="24"/>
        </w:rPr>
      </w:pPr>
    </w:p>
    <w:p w14:paraId="73E2F36E" w14:textId="77777777" w:rsidR="00F85936" w:rsidRPr="00FE251A" w:rsidRDefault="00F85936" w:rsidP="00F85936">
      <w:pPr>
        <w:pStyle w:val="NoSpacing"/>
        <w:ind w:left="720"/>
        <w:rPr>
          <w:b/>
          <w:bCs/>
          <w:iCs/>
          <w:sz w:val="24"/>
          <w:szCs w:val="24"/>
        </w:rPr>
      </w:pPr>
      <w:r w:rsidRPr="00FE251A">
        <w:rPr>
          <w:b/>
          <w:bCs/>
          <w:iCs/>
          <w:sz w:val="24"/>
          <w:szCs w:val="24"/>
        </w:rPr>
        <w:t>Per pp 67-68 in the NOFO, we are provided with specific headings and subheadings to use in our project narratives, in this precise order.</w:t>
      </w:r>
    </w:p>
    <w:p w14:paraId="64A1A710" w14:textId="77777777" w:rsidR="00F85936" w:rsidRPr="00FE251A" w:rsidRDefault="00F85936" w:rsidP="00F85936">
      <w:pPr>
        <w:pStyle w:val="NoSpacing"/>
        <w:ind w:left="720"/>
        <w:rPr>
          <w:b/>
          <w:bCs/>
          <w:iCs/>
          <w:sz w:val="24"/>
          <w:szCs w:val="24"/>
        </w:rPr>
      </w:pPr>
    </w:p>
    <w:p w14:paraId="2893046E" w14:textId="77777777" w:rsidR="00F85936" w:rsidRPr="00FE251A" w:rsidRDefault="00F85936" w:rsidP="00F85936">
      <w:pPr>
        <w:pStyle w:val="NoSpacing"/>
        <w:ind w:left="720"/>
        <w:rPr>
          <w:b/>
          <w:bCs/>
          <w:iCs/>
          <w:sz w:val="24"/>
          <w:szCs w:val="24"/>
        </w:rPr>
      </w:pPr>
      <w:r w:rsidRPr="00FE251A">
        <w:rPr>
          <w:b/>
          <w:bCs/>
          <w:iCs/>
          <w:sz w:val="24"/>
          <w:szCs w:val="24"/>
        </w:rPr>
        <w:t>There is additional guidance on project narratives for Component D only on pp 29-30.</w:t>
      </w:r>
    </w:p>
    <w:p w14:paraId="0C95F833" w14:textId="77777777" w:rsidR="00F15273" w:rsidRPr="00FE251A" w:rsidRDefault="00F15273" w:rsidP="00F85936">
      <w:pPr>
        <w:pStyle w:val="NoSpacing"/>
        <w:ind w:left="720"/>
        <w:rPr>
          <w:b/>
          <w:bCs/>
          <w:iCs/>
          <w:sz w:val="24"/>
          <w:szCs w:val="24"/>
        </w:rPr>
      </w:pPr>
    </w:p>
    <w:p w14:paraId="18F3E10E" w14:textId="59729AF8" w:rsidR="00F15273" w:rsidRPr="00FE251A" w:rsidRDefault="00F15273" w:rsidP="000F661E">
      <w:pPr>
        <w:pStyle w:val="NoSpacing"/>
        <w:rPr>
          <w:b/>
          <w:bCs/>
          <w:iCs/>
          <w:sz w:val="24"/>
          <w:szCs w:val="24"/>
        </w:rPr>
      </w:pPr>
      <w:r w:rsidRPr="00FE251A">
        <w:rPr>
          <w:b/>
          <w:bCs/>
          <w:iCs/>
          <w:sz w:val="24"/>
          <w:szCs w:val="24"/>
        </w:rPr>
        <w:t>Please see additional guidance for Component D on page 40: “</w:t>
      </w:r>
      <w:r w:rsidRPr="00FE251A">
        <w:rPr>
          <w:b/>
          <w:bCs/>
          <w:color w:val="1B1B1B"/>
          <w:sz w:val="24"/>
          <w:szCs w:val="24"/>
        </w:rPr>
        <w:t>For Components C and D, the focus is on finding organizations that can handle a variety of tasks within the specific topic area of each component.”</w:t>
      </w:r>
    </w:p>
    <w:p w14:paraId="2B1DADDA" w14:textId="77777777" w:rsidR="00F85936" w:rsidRPr="00FE251A" w:rsidRDefault="00F85936" w:rsidP="00F85936">
      <w:pPr>
        <w:pStyle w:val="NoSpacing"/>
        <w:ind w:left="720"/>
        <w:rPr>
          <w:b/>
          <w:bCs/>
          <w:iCs/>
          <w:sz w:val="24"/>
          <w:szCs w:val="24"/>
        </w:rPr>
      </w:pPr>
    </w:p>
    <w:p w14:paraId="2CA35F62" w14:textId="77777777" w:rsidR="00F85936" w:rsidRPr="00FE251A" w:rsidRDefault="00F85936" w:rsidP="00F85936">
      <w:pPr>
        <w:pStyle w:val="NoSpacing"/>
        <w:ind w:left="720"/>
        <w:rPr>
          <w:b/>
          <w:bCs/>
          <w:iCs/>
          <w:sz w:val="24"/>
          <w:szCs w:val="24"/>
        </w:rPr>
      </w:pPr>
      <w:r w:rsidRPr="00FE251A">
        <w:rPr>
          <w:b/>
          <w:bCs/>
          <w:iCs/>
          <w:sz w:val="24"/>
          <w:szCs w:val="24"/>
        </w:rPr>
        <w:t xml:space="preserve">Should we be integrating </w:t>
      </w:r>
      <w:proofErr w:type="gramStart"/>
      <w:r w:rsidRPr="00FE251A">
        <w:rPr>
          <w:b/>
          <w:bCs/>
          <w:iCs/>
          <w:sz w:val="24"/>
          <w:szCs w:val="24"/>
        </w:rPr>
        <w:t>all of</w:t>
      </w:r>
      <w:proofErr w:type="gramEnd"/>
      <w:r w:rsidRPr="00FE251A">
        <w:rPr>
          <w:b/>
          <w:bCs/>
          <w:iCs/>
          <w:sz w:val="24"/>
          <w:szCs w:val="24"/>
        </w:rPr>
        <w:t xml:space="preserve"> these sets of guidance as list of capabilities and expertise available for future needs?</w:t>
      </w:r>
    </w:p>
    <w:p w14:paraId="128F0E9E" w14:textId="0DED7AAB" w:rsidR="00F85936" w:rsidRPr="00FE251A" w:rsidRDefault="00F15273" w:rsidP="00F15273">
      <w:pPr>
        <w:pStyle w:val="NoSpacing"/>
        <w:numPr>
          <w:ilvl w:val="0"/>
          <w:numId w:val="1"/>
        </w:numPr>
        <w:rPr>
          <w:iCs/>
          <w:sz w:val="24"/>
          <w:szCs w:val="24"/>
        </w:rPr>
      </w:pPr>
      <w:r w:rsidRPr="00FE251A">
        <w:rPr>
          <w:iCs/>
          <w:sz w:val="24"/>
          <w:szCs w:val="24"/>
        </w:rPr>
        <w:t>Yes.</w:t>
      </w:r>
    </w:p>
    <w:p w14:paraId="72EE18F9" w14:textId="77777777" w:rsidR="00F15273" w:rsidRPr="00FE251A" w:rsidRDefault="00F15273" w:rsidP="00F15273">
      <w:pPr>
        <w:pStyle w:val="NoSpacing"/>
        <w:ind w:left="720"/>
        <w:rPr>
          <w:iCs/>
          <w:sz w:val="24"/>
          <w:szCs w:val="24"/>
        </w:rPr>
      </w:pPr>
    </w:p>
    <w:p w14:paraId="73F753BA" w14:textId="16439BF9" w:rsidR="00F85936" w:rsidRPr="00FE251A" w:rsidRDefault="00F85936" w:rsidP="00F15273">
      <w:pPr>
        <w:pStyle w:val="NoSpacing"/>
        <w:rPr>
          <w:b/>
          <w:bCs/>
          <w:color w:val="1B1B1B"/>
        </w:rPr>
      </w:pPr>
      <w:r w:rsidRPr="00FE251A">
        <w:rPr>
          <w:b/>
          <w:bCs/>
          <w:iCs/>
          <w:sz w:val="24"/>
          <w:szCs w:val="24"/>
        </w:rPr>
        <w:t xml:space="preserve">On page 40, you provide the following instructions: </w:t>
      </w:r>
      <w:r w:rsidR="00F15273" w:rsidRPr="00FE251A">
        <w:rPr>
          <w:b/>
          <w:bCs/>
          <w:iCs/>
          <w:sz w:val="24"/>
          <w:szCs w:val="24"/>
        </w:rPr>
        <w:t xml:space="preserve"> </w:t>
      </w:r>
      <w:r w:rsidRPr="00FE251A">
        <w:rPr>
          <w:b/>
          <w:bCs/>
          <w:i/>
          <w:iCs/>
          <w:color w:val="1B1B1B"/>
          <w:sz w:val="24"/>
          <w:szCs w:val="24"/>
        </w:rPr>
        <w:t xml:space="preserve">For Component D, describe available institutional and professional capabilities to support successful planning and conduct of all </w:t>
      </w:r>
      <w:r w:rsidRPr="00D97F9C">
        <w:rPr>
          <w:b/>
          <w:bCs/>
          <w:i/>
          <w:iCs/>
          <w:sz w:val="24"/>
          <w:szCs w:val="24"/>
        </w:rPr>
        <w:t>Strategy 5 activities</w:t>
      </w:r>
      <w:r w:rsidRPr="00FE251A">
        <w:rPr>
          <w:b/>
          <w:bCs/>
          <w:i/>
          <w:iCs/>
          <w:color w:val="1B1B1B"/>
          <w:sz w:val="24"/>
          <w:szCs w:val="24"/>
        </w:rPr>
        <w:t>, with emphasis on your ability to coordinate across centers and regions.</w:t>
      </w:r>
      <w:r w:rsidR="00F15273" w:rsidRPr="00FE251A">
        <w:rPr>
          <w:b/>
          <w:bCs/>
          <w:i/>
          <w:iCs/>
          <w:color w:val="1B1B1B"/>
          <w:sz w:val="24"/>
          <w:szCs w:val="24"/>
        </w:rPr>
        <w:t xml:space="preserve"> </w:t>
      </w:r>
      <w:r w:rsidRPr="00FE251A">
        <w:rPr>
          <w:b/>
          <w:bCs/>
          <w:color w:val="1B1B1B"/>
          <w:sz w:val="24"/>
          <w:szCs w:val="24"/>
        </w:rPr>
        <w:t>Strategy 5 is assigned to Component C; do these instructions apply to Component C and not</w:t>
      </w:r>
      <w:r w:rsidRPr="00FE251A">
        <w:rPr>
          <w:b/>
          <w:bCs/>
          <w:color w:val="1B1B1B"/>
        </w:rPr>
        <w:t xml:space="preserve"> Component D?  </w:t>
      </w:r>
    </w:p>
    <w:p w14:paraId="76ACBA51" w14:textId="20EF85C6" w:rsidR="00F15273" w:rsidRDefault="00F15273" w:rsidP="00F15273">
      <w:pPr>
        <w:pStyle w:val="NoSpacing"/>
        <w:numPr>
          <w:ilvl w:val="0"/>
          <w:numId w:val="1"/>
        </w:numPr>
        <w:rPr>
          <w:color w:val="1B1B1B"/>
        </w:rPr>
      </w:pPr>
      <w:r>
        <w:rPr>
          <w:color w:val="1B1B1B"/>
        </w:rPr>
        <w:t>This applies to Strategy C. This is a typo.</w:t>
      </w:r>
    </w:p>
    <w:p w14:paraId="4552A7F8" w14:textId="77777777" w:rsidR="00F85936" w:rsidRPr="00B42A1F" w:rsidRDefault="00F85936" w:rsidP="00F85936">
      <w:pPr>
        <w:pStyle w:val="NoSpacing"/>
        <w:rPr>
          <w:rFonts w:cstheme="minorHAnsi"/>
          <w:iCs/>
          <w:sz w:val="24"/>
          <w:szCs w:val="24"/>
        </w:rPr>
      </w:pPr>
    </w:p>
    <w:p w14:paraId="3780DA42" w14:textId="22EB18F7" w:rsidR="00E37B1A" w:rsidRDefault="00E37B1A" w:rsidP="00E37B1A">
      <w:pPr>
        <w:pStyle w:val="Heading1"/>
      </w:pPr>
      <w:r>
        <w:t>CAWP QUESTIONS</w:t>
      </w:r>
    </w:p>
    <w:p w14:paraId="4D56901D" w14:textId="0BE3A6C0" w:rsidR="00E37B1A" w:rsidRPr="00FE251A" w:rsidRDefault="00E37B1A" w:rsidP="00E37B1A">
      <w:pPr>
        <w:pStyle w:val="NoSpacing"/>
        <w:rPr>
          <w:b/>
          <w:bCs/>
          <w:iCs/>
          <w:sz w:val="24"/>
          <w:szCs w:val="24"/>
        </w:rPr>
      </w:pPr>
      <w:r w:rsidRPr="00FE251A">
        <w:rPr>
          <w:b/>
          <w:bCs/>
          <w:iCs/>
          <w:sz w:val="24"/>
          <w:szCs w:val="24"/>
        </w:rPr>
        <w:t>Sample CAWPs are provided for Components A and B. If we are applying for Components C, D, or E, do we also need to include a CAWP as part of these Proposal Narratives?</w:t>
      </w:r>
    </w:p>
    <w:p w14:paraId="0CE37A23" w14:textId="30E3CB8E" w:rsidR="00E37B1A" w:rsidRPr="00FE251A" w:rsidRDefault="00F15273" w:rsidP="00F15273">
      <w:pPr>
        <w:pStyle w:val="NoSpacing"/>
        <w:numPr>
          <w:ilvl w:val="0"/>
          <w:numId w:val="1"/>
        </w:numPr>
        <w:rPr>
          <w:iCs/>
          <w:sz w:val="24"/>
          <w:szCs w:val="24"/>
        </w:rPr>
      </w:pPr>
      <w:r w:rsidRPr="00FE251A">
        <w:rPr>
          <w:color w:val="1B1B1B"/>
          <w:sz w:val="24"/>
          <w:szCs w:val="24"/>
        </w:rPr>
        <w:t>Your application must include separate cooperative agreement work plans (CAWP) for each component for which you are applying.</w:t>
      </w:r>
    </w:p>
    <w:p w14:paraId="0B282B65" w14:textId="77777777" w:rsidR="00E37B1A" w:rsidRDefault="00E37B1A" w:rsidP="00E37B1A">
      <w:pPr>
        <w:pStyle w:val="NoSpacing"/>
        <w:rPr>
          <w:iCs/>
        </w:rPr>
      </w:pPr>
    </w:p>
    <w:p w14:paraId="29AA06F1" w14:textId="17A048BF" w:rsidR="00E37B1A" w:rsidRDefault="00E37B1A" w:rsidP="00E37B1A">
      <w:pPr>
        <w:pStyle w:val="Heading1"/>
        <w:rPr>
          <w:rFonts w:eastAsia="Times New Roman"/>
        </w:rPr>
      </w:pPr>
      <w:r>
        <w:rPr>
          <w:rFonts w:eastAsia="Times New Roman"/>
        </w:rPr>
        <w:t>BUDGET QUESTIONS</w:t>
      </w:r>
    </w:p>
    <w:p w14:paraId="352C6FA8" w14:textId="77777777" w:rsidR="00E37B1A" w:rsidRDefault="00E37B1A" w:rsidP="00E37B1A">
      <w:pPr>
        <w:spacing w:after="0" w:line="240" w:lineRule="auto"/>
        <w:rPr>
          <w:rFonts w:ascii="Times New Roman" w:eastAsia="Times New Roman" w:hAnsi="Times New Roman" w:cs="Times New Roman"/>
          <w:color w:val="000000"/>
          <w:sz w:val="24"/>
          <w:szCs w:val="24"/>
        </w:rPr>
      </w:pPr>
    </w:p>
    <w:p w14:paraId="25B4CA12" w14:textId="08B1D7A2" w:rsidR="00E37B1A" w:rsidRPr="00FE251A" w:rsidRDefault="00E37B1A" w:rsidP="00E37B1A">
      <w:pPr>
        <w:spacing w:after="0" w:line="240" w:lineRule="auto"/>
        <w:rPr>
          <w:rFonts w:eastAsia="Times New Roman" w:cstheme="minorHAnsi"/>
          <w:b/>
          <w:bCs/>
          <w:color w:val="000000"/>
          <w:sz w:val="24"/>
          <w:szCs w:val="24"/>
        </w:rPr>
      </w:pPr>
      <w:r w:rsidRPr="00EA770C">
        <w:rPr>
          <w:rFonts w:eastAsia="Times New Roman" w:cstheme="minorHAnsi"/>
          <w:b/>
          <w:bCs/>
          <w:color w:val="000000"/>
          <w:sz w:val="24"/>
          <w:szCs w:val="24"/>
        </w:rPr>
        <w:t>Should the applicants submit the component budgets for year 1 only, or all 5 years</w:t>
      </w:r>
      <w:r w:rsidRPr="00FE251A">
        <w:rPr>
          <w:rFonts w:eastAsia="Times New Roman" w:cstheme="minorHAnsi"/>
          <w:b/>
          <w:bCs/>
          <w:color w:val="000000"/>
          <w:sz w:val="24"/>
          <w:szCs w:val="24"/>
        </w:rPr>
        <w:t>?</w:t>
      </w:r>
    </w:p>
    <w:p w14:paraId="23B8CF23" w14:textId="79D50FA0" w:rsidR="00E37B1A" w:rsidRPr="009A6F2D" w:rsidRDefault="009A6F2D" w:rsidP="009A6F2D">
      <w:pPr>
        <w:pStyle w:val="ListParagraph"/>
        <w:numPr>
          <w:ilvl w:val="0"/>
          <w:numId w:val="1"/>
        </w:numPr>
        <w:spacing w:line="252" w:lineRule="auto"/>
        <w:rPr>
          <w:rFonts w:eastAsia="Times New Roman"/>
        </w:rPr>
      </w:pPr>
      <w:r>
        <w:rPr>
          <w:rFonts w:eastAsia="Times New Roman"/>
        </w:rPr>
        <w:t xml:space="preserve">Year 1. Because this is annual funding, the applicant will be required to complete a budget during each non-competing continuation budget period. </w:t>
      </w:r>
    </w:p>
    <w:p w14:paraId="18983DA1" w14:textId="77777777" w:rsidR="00E37B1A" w:rsidRPr="00FE251A" w:rsidRDefault="00E37B1A" w:rsidP="00E37B1A">
      <w:pPr>
        <w:pStyle w:val="NoSpacing"/>
        <w:rPr>
          <w:rFonts w:cstheme="minorHAnsi"/>
          <w:iCs/>
          <w:sz w:val="24"/>
          <w:szCs w:val="24"/>
        </w:rPr>
      </w:pPr>
    </w:p>
    <w:p w14:paraId="0DD13CC7" w14:textId="1F158B93" w:rsidR="00E37B1A" w:rsidRPr="00FE251A" w:rsidRDefault="00E37B1A" w:rsidP="00E37B1A">
      <w:pPr>
        <w:pStyle w:val="NoSpacing"/>
        <w:rPr>
          <w:rFonts w:cstheme="minorHAnsi"/>
          <w:b/>
          <w:bCs/>
          <w:iCs/>
          <w:sz w:val="24"/>
          <w:szCs w:val="24"/>
        </w:rPr>
      </w:pPr>
      <w:r w:rsidRPr="00FE251A">
        <w:rPr>
          <w:rFonts w:cstheme="minorHAnsi"/>
          <w:b/>
          <w:bCs/>
          <w:iCs/>
          <w:sz w:val="24"/>
          <w:szCs w:val="24"/>
        </w:rPr>
        <w:t xml:space="preserve">On page 69 of the </w:t>
      </w:r>
      <w:proofErr w:type="gramStart"/>
      <w:r w:rsidRPr="00FE251A">
        <w:rPr>
          <w:rFonts w:cstheme="minorHAnsi"/>
          <w:b/>
          <w:bCs/>
          <w:iCs/>
          <w:sz w:val="24"/>
          <w:szCs w:val="24"/>
        </w:rPr>
        <w:t>RFP</w:t>
      </w:r>
      <w:proofErr w:type="gramEnd"/>
      <w:r w:rsidRPr="00FE251A">
        <w:rPr>
          <w:rFonts w:cstheme="minorHAnsi"/>
          <w:b/>
          <w:bCs/>
          <w:iCs/>
          <w:sz w:val="24"/>
          <w:szCs w:val="24"/>
        </w:rPr>
        <w:t xml:space="preserve"> we are instructed: “</w:t>
      </w:r>
      <w:r w:rsidRPr="00FE251A">
        <w:rPr>
          <w:rFonts w:cstheme="minorHAnsi"/>
          <w:b/>
          <w:bCs/>
          <w:i/>
          <w:sz w:val="24"/>
          <w:szCs w:val="24"/>
        </w:rPr>
        <w:t>The budget narrative, separate for the required Components A, B, C, and E, must explain and justify the costs in your budget</w:t>
      </w:r>
      <w:r w:rsidRPr="00FE251A">
        <w:rPr>
          <w:rFonts w:cstheme="minorHAnsi"/>
          <w:b/>
          <w:bCs/>
          <w:iCs/>
          <w:sz w:val="24"/>
          <w:szCs w:val="24"/>
        </w:rPr>
        <w:t>.”</w:t>
      </w:r>
    </w:p>
    <w:p w14:paraId="2F154A47" w14:textId="0E817106" w:rsidR="00E37B1A" w:rsidRPr="00FE251A" w:rsidRDefault="00E37B1A" w:rsidP="00FE0E51">
      <w:pPr>
        <w:pStyle w:val="NoSpacing"/>
        <w:rPr>
          <w:iCs/>
          <w:sz w:val="24"/>
          <w:szCs w:val="24"/>
        </w:rPr>
      </w:pPr>
      <w:r w:rsidRPr="00FE251A">
        <w:rPr>
          <w:b/>
          <w:bCs/>
          <w:iCs/>
          <w:sz w:val="24"/>
          <w:szCs w:val="24"/>
        </w:rPr>
        <w:t>It looks like there is just one Budget Narrative attachment in the application checklist. Should we make separate budget justification documents for each Component, and then compile them into a single document</w:t>
      </w:r>
      <w:r w:rsidRPr="00FE251A">
        <w:rPr>
          <w:iCs/>
          <w:sz w:val="24"/>
          <w:szCs w:val="24"/>
        </w:rPr>
        <w:t xml:space="preserve">? </w:t>
      </w:r>
    </w:p>
    <w:p w14:paraId="35E9D791" w14:textId="103898C8" w:rsidR="00FE0E51" w:rsidRPr="00D97F9C" w:rsidRDefault="007505AF" w:rsidP="00D97F9C">
      <w:pPr>
        <w:pStyle w:val="NoSpacing"/>
        <w:numPr>
          <w:ilvl w:val="0"/>
          <w:numId w:val="1"/>
        </w:numPr>
        <w:rPr>
          <w:rFonts w:eastAsia="Times New Roman"/>
        </w:rPr>
      </w:pPr>
      <w:r>
        <w:rPr>
          <w:rFonts w:eastAsia="Times New Roman"/>
        </w:rPr>
        <w:t xml:space="preserve">A budget narrative is required for each Component. Applicants may compile budgets into a single document. An excel spreadsheet will allow applicants to provide a summary tab that includes the </w:t>
      </w:r>
      <w:r w:rsidR="00D97F9C">
        <w:rPr>
          <w:rFonts w:eastAsia="Times New Roman"/>
        </w:rPr>
        <w:t>line-item</w:t>
      </w:r>
      <w:r>
        <w:rPr>
          <w:rFonts w:eastAsia="Times New Roman"/>
        </w:rPr>
        <w:t xml:space="preserve"> budget for all components and individual tabs that are component specific.</w:t>
      </w:r>
    </w:p>
    <w:p w14:paraId="4FA08E1C" w14:textId="77777777" w:rsidR="00FE0E51" w:rsidRPr="00FE251A" w:rsidRDefault="00FE0E51" w:rsidP="00FE0E51">
      <w:pPr>
        <w:pStyle w:val="NoSpacing"/>
        <w:rPr>
          <w:iCs/>
          <w:sz w:val="24"/>
          <w:szCs w:val="24"/>
        </w:rPr>
      </w:pPr>
    </w:p>
    <w:p w14:paraId="5ECF512B" w14:textId="63FBD829" w:rsidR="00E37B1A" w:rsidRPr="00FE251A" w:rsidRDefault="00E37B1A" w:rsidP="00FE0E51">
      <w:pPr>
        <w:pStyle w:val="NoSpacing"/>
        <w:rPr>
          <w:b/>
          <w:bCs/>
          <w:iCs/>
          <w:sz w:val="24"/>
          <w:szCs w:val="24"/>
        </w:rPr>
      </w:pPr>
      <w:r w:rsidRPr="00FE251A">
        <w:rPr>
          <w:b/>
          <w:bCs/>
          <w:iCs/>
          <w:sz w:val="24"/>
          <w:szCs w:val="24"/>
        </w:rPr>
        <w:t>Related: Do we need to complete separate SF-424A budget forms for each Component? Or should we compile all budgetary requests onto a single SF-424A budget form?</w:t>
      </w:r>
    </w:p>
    <w:p w14:paraId="357E2139" w14:textId="4252E887" w:rsidR="00FE0E51" w:rsidRPr="00D97F9C" w:rsidRDefault="007505AF" w:rsidP="00D97F9C">
      <w:pPr>
        <w:pStyle w:val="NoSpacing"/>
        <w:numPr>
          <w:ilvl w:val="0"/>
          <w:numId w:val="1"/>
        </w:numPr>
        <w:rPr>
          <w:rFonts w:eastAsia="Times New Roman"/>
        </w:rPr>
      </w:pPr>
      <w:r>
        <w:rPr>
          <w:rFonts w:eastAsia="Times New Roman"/>
        </w:rPr>
        <w:t>Only one SF-424A is required. Section B of the SF-424A has 4 columns which allows applicants to enter the budget for each component.</w:t>
      </w:r>
    </w:p>
    <w:p w14:paraId="4E5A5944" w14:textId="77777777" w:rsidR="00FE0E51" w:rsidRPr="00FE251A" w:rsidRDefault="00FE0E51" w:rsidP="00FE0E51">
      <w:pPr>
        <w:pStyle w:val="NoSpacing"/>
        <w:rPr>
          <w:b/>
          <w:bCs/>
          <w:iCs/>
          <w:sz w:val="24"/>
          <w:szCs w:val="24"/>
        </w:rPr>
      </w:pPr>
    </w:p>
    <w:p w14:paraId="5269D47C" w14:textId="02E60BAB" w:rsidR="00E37B1A" w:rsidRPr="00FE251A" w:rsidRDefault="00E37B1A" w:rsidP="00FE0E51">
      <w:pPr>
        <w:pStyle w:val="NoSpacing"/>
        <w:rPr>
          <w:iCs/>
          <w:sz w:val="24"/>
          <w:szCs w:val="24"/>
        </w:rPr>
      </w:pPr>
      <w:r w:rsidRPr="00FE251A">
        <w:rPr>
          <w:b/>
          <w:bCs/>
          <w:iCs/>
          <w:sz w:val="24"/>
          <w:szCs w:val="24"/>
        </w:rPr>
        <w:t>Does this mean that there is no budget narrative requirement for Component D</w:t>
      </w:r>
      <w:r w:rsidRPr="00FE251A">
        <w:rPr>
          <w:iCs/>
          <w:sz w:val="24"/>
          <w:szCs w:val="24"/>
        </w:rPr>
        <w:t xml:space="preserve">? </w:t>
      </w:r>
      <w:r w:rsidRPr="00FE251A">
        <w:rPr>
          <w:b/>
          <w:bCs/>
          <w:iCs/>
          <w:sz w:val="24"/>
          <w:szCs w:val="24"/>
        </w:rPr>
        <w:t>Should we also take this to mean that there should be no budgetary request for Component D</w:t>
      </w:r>
      <w:r w:rsidRPr="00FE251A">
        <w:rPr>
          <w:iCs/>
          <w:sz w:val="24"/>
          <w:szCs w:val="24"/>
        </w:rPr>
        <w:t>?</w:t>
      </w:r>
    </w:p>
    <w:p w14:paraId="7D5C4345" w14:textId="2FAB3B01" w:rsidR="00FE0E51" w:rsidRPr="00FE251A" w:rsidRDefault="00FE0E51" w:rsidP="00FE0E51">
      <w:pPr>
        <w:pStyle w:val="NoSpacing"/>
        <w:numPr>
          <w:ilvl w:val="0"/>
          <w:numId w:val="1"/>
        </w:numPr>
        <w:rPr>
          <w:iCs/>
          <w:sz w:val="24"/>
          <w:szCs w:val="24"/>
        </w:rPr>
      </w:pPr>
      <w:r w:rsidRPr="00FE251A">
        <w:rPr>
          <w:iCs/>
          <w:sz w:val="24"/>
          <w:szCs w:val="24"/>
        </w:rPr>
        <w:t>There is no budget narrative requirement for Component D. If funds become available, narratives will be requested in applications for those funds.</w:t>
      </w:r>
    </w:p>
    <w:p w14:paraId="7F9FB0B3" w14:textId="77777777" w:rsidR="00206FDA" w:rsidRDefault="00206FDA" w:rsidP="00206FDA">
      <w:pPr>
        <w:pStyle w:val="NoSpacing"/>
        <w:rPr>
          <w:iCs/>
        </w:rPr>
      </w:pPr>
    </w:p>
    <w:p w14:paraId="602B8542" w14:textId="77777777" w:rsidR="006B6903" w:rsidRPr="003D60FB" w:rsidRDefault="006B6903" w:rsidP="00206FDA">
      <w:pPr>
        <w:spacing w:after="0" w:line="240" w:lineRule="auto"/>
        <w:rPr>
          <w:rFonts w:ascii="Calibri" w:eastAsia="Times New Roman" w:hAnsi="Calibri" w:cs="Calibri"/>
          <w:b/>
          <w:bCs/>
          <w:color w:val="000000"/>
          <w:sz w:val="24"/>
          <w:szCs w:val="24"/>
        </w:rPr>
      </w:pPr>
      <w:r w:rsidRPr="003D60FB">
        <w:rPr>
          <w:rFonts w:ascii="Calibri" w:eastAsia="Times New Roman" w:hAnsi="Calibri" w:cs="Calibri"/>
          <w:b/>
          <w:bCs/>
          <w:color w:val="000000"/>
          <w:sz w:val="24"/>
          <w:szCs w:val="24"/>
        </w:rPr>
        <w:t>Can proposed budgets include travel?</w:t>
      </w:r>
    </w:p>
    <w:p w14:paraId="420DDAAD" w14:textId="72B17270" w:rsidR="007505AF" w:rsidRPr="003D60FB" w:rsidRDefault="007505AF" w:rsidP="007505AF">
      <w:pPr>
        <w:pStyle w:val="ListParagraph"/>
        <w:numPr>
          <w:ilvl w:val="0"/>
          <w:numId w:val="4"/>
        </w:numPr>
        <w:spacing w:after="0" w:line="240" w:lineRule="auto"/>
        <w:rPr>
          <w:rFonts w:eastAsia="Times New Roman"/>
          <w:color w:val="000000"/>
          <w:sz w:val="24"/>
          <w:szCs w:val="24"/>
        </w:rPr>
      </w:pPr>
      <w:r w:rsidRPr="003D60FB">
        <w:rPr>
          <w:rFonts w:eastAsia="Times New Roman"/>
          <w:color w:val="000000"/>
          <w:sz w:val="24"/>
          <w:szCs w:val="24"/>
        </w:rPr>
        <w:t xml:space="preserve">Yes. Staff travel must be placed in the Travel category.  Travel other than staff must be placed in the </w:t>
      </w:r>
      <w:proofErr w:type="gramStart"/>
      <w:r w:rsidRPr="003D60FB">
        <w:rPr>
          <w:rFonts w:eastAsia="Times New Roman"/>
          <w:color w:val="000000"/>
          <w:sz w:val="24"/>
          <w:szCs w:val="24"/>
        </w:rPr>
        <w:t>Other</w:t>
      </w:r>
      <w:proofErr w:type="gramEnd"/>
      <w:r w:rsidRPr="003D60FB">
        <w:rPr>
          <w:rFonts w:eastAsia="Times New Roman"/>
          <w:color w:val="000000"/>
          <w:sz w:val="24"/>
          <w:szCs w:val="24"/>
        </w:rPr>
        <w:t xml:space="preserve"> cost category</w:t>
      </w:r>
      <w:r w:rsidR="003D60FB" w:rsidRPr="003D60FB">
        <w:rPr>
          <w:rFonts w:eastAsia="Times New Roman"/>
          <w:color w:val="000000"/>
          <w:sz w:val="24"/>
          <w:szCs w:val="24"/>
        </w:rPr>
        <w:t>.</w:t>
      </w:r>
    </w:p>
    <w:p w14:paraId="688EF168" w14:textId="77777777" w:rsidR="006B6903" w:rsidRPr="003D60FB" w:rsidRDefault="006B6903" w:rsidP="00206FDA">
      <w:pPr>
        <w:spacing w:after="0" w:line="240" w:lineRule="auto"/>
        <w:rPr>
          <w:rFonts w:ascii="Calibri" w:eastAsia="Times New Roman" w:hAnsi="Calibri" w:cs="Calibri"/>
          <w:b/>
          <w:bCs/>
          <w:color w:val="000000"/>
          <w:sz w:val="24"/>
          <w:szCs w:val="24"/>
        </w:rPr>
      </w:pPr>
    </w:p>
    <w:p w14:paraId="00A42A9E" w14:textId="77777777" w:rsidR="006B6903" w:rsidRPr="003D60FB" w:rsidRDefault="006B6903" w:rsidP="00206FDA">
      <w:pPr>
        <w:spacing w:after="0" w:line="240" w:lineRule="auto"/>
        <w:rPr>
          <w:rFonts w:ascii="Calibri" w:eastAsia="Times New Roman" w:hAnsi="Calibri" w:cs="Calibri"/>
          <w:b/>
          <w:bCs/>
          <w:color w:val="000000"/>
          <w:sz w:val="24"/>
          <w:szCs w:val="24"/>
        </w:rPr>
      </w:pPr>
      <w:r w:rsidRPr="003D60FB">
        <w:rPr>
          <w:rFonts w:ascii="Calibri" w:eastAsia="Times New Roman" w:hAnsi="Calibri" w:cs="Calibri"/>
          <w:b/>
          <w:bCs/>
          <w:color w:val="000000"/>
          <w:sz w:val="24"/>
          <w:szCs w:val="24"/>
        </w:rPr>
        <w:t>Can proposed budgets include food for Meetings?</w:t>
      </w:r>
    </w:p>
    <w:p w14:paraId="47FD451D" w14:textId="3B515A27" w:rsidR="00206FDA" w:rsidRPr="003D60FB" w:rsidRDefault="006B6903" w:rsidP="006B6903">
      <w:pPr>
        <w:pStyle w:val="NoSpacing"/>
        <w:numPr>
          <w:ilvl w:val="0"/>
          <w:numId w:val="1"/>
        </w:numPr>
        <w:rPr>
          <w:iCs/>
          <w:sz w:val="24"/>
          <w:szCs w:val="24"/>
        </w:rPr>
      </w:pPr>
      <w:r w:rsidRPr="003D60FB">
        <w:rPr>
          <w:iCs/>
          <w:sz w:val="24"/>
          <w:szCs w:val="24"/>
        </w:rPr>
        <w:t xml:space="preserve">No. </w:t>
      </w:r>
    </w:p>
    <w:p w14:paraId="4109682C" w14:textId="77777777" w:rsidR="00E37B1A" w:rsidRPr="003D60FB" w:rsidRDefault="00E37B1A" w:rsidP="00E37B1A">
      <w:pPr>
        <w:pStyle w:val="NoSpacing"/>
        <w:rPr>
          <w:iCs/>
          <w:sz w:val="24"/>
          <w:szCs w:val="24"/>
        </w:rPr>
      </w:pPr>
    </w:p>
    <w:p w14:paraId="76D8CBBC" w14:textId="77777777" w:rsidR="003D60FB" w:rsidRPr="003D60FB" w:rsidRDefault="003D60FB" w:rsidP="003D60FB">
      <w:pPr>
        <w:spacing w:after="0" w:line="240" w:lineRule="auto"/>
        <w:rPr>
          <w:rFonts w:ascii="Calibri" w:eastAsia="Times New Roman" w:hAnsi="Calibri" w:cs="Calibri"/>
          <w:b/>
          <w:bCs/>
          <w:color w:val="000000"/>
          <w:sz w:val="24"/>
          <w:szCs w:val="24"/>
        </w:rPr>
      </w:pPr>
      <w:r w:rsidRPr="003D60FB">
        <w:rPr>
          <w:rFonts w:ascii="Calibri" w:eastAsia="Times New Roman" w:hAnsi="Calibri" w:cs="Calibri"/>
          <w:b/>
          <w:bCs/>
          <w:color w:val="000000"/>
          <w:sz w:val="24"/>
          <w:szCs w:val="24"/>
        </w:rPr>
        <w:t>Is the Award Floor Total Costs (Direct &amp; Indirect Costs?) or only Direct Costs?</w:t>
      </w:r>
    </w:p>
    <w:p w14:paraId="313110C5" w14:textId="62822BAD" w:rsidR="003D60FB" w:rsidRPr="003D60FB" w:rsidRDefault="003D60FB" w:rsidP="003D60FB">
      <w:pPr>
        <w:pStyle w:val="NoSpacing"/>
        <w:numPr>
          <w:ilvl w:val="0"/>
          <w:numId w:val="1"/>
        </w:numPr>
        <w:rPr>
          <w:iCs/>
          <w:sz w:val="24"/>
          <w:szCs w:val="24"/>
        </w:rPr>
      </w:pPr>
      <w:r w:rsidRPr="003D60FB">
        <w:rPr>
          <w:rFonts w:ascii="Calibri" w:eastAsia="Times New Roman" w:hAnsi="Calibri" w:cs="Calibri"/>
          <w:color w:val="000000"/>
          <w:sz w:val="24"/>
          <w:szCs w:val="24"/>
        </w:rPr>
        <w:t>Direct &amp; Indirect Costs</w:t>
      </w:r>
    </w:p>
    <w:p w14:paraId="115E8C99" w14:textId="77777777" w:rsidR="00B42A1F" w:rsidRDefault="00B42A1F" w:rsidP="00B42A1F">
      <w:pPr>
        <w:pStyle w:val="Heading1"/>
      </w:pPr>
      <w:r>
        <w:t>ELIGIBILITY REQUIREMENTS</w:t>
      </w:r>
    </w:p>
    <w:p w14:paraId="73449362" w14:textId="77777777" w:rsidR="00B42A1F" w:rsidRPr="00FE251A" w:rsidRDefault="00B42A1F" w:rsidP="00B42A1F">
      <w:pPr>
        <w:rPr>
          <w:b/>
          <w:bCs/>
          <w:sz w:val="24"/>
          <w:szCs w:val="24"/>
        </w:rPr>
      </w:pPr>
      <w:r w:rsidRPr="00FE251A">
        <w:rPr>
          <w:b/>
          <w:bCs/>
          <w:sz w:val="24"/>
          <w:szCs w:val="24"/>
        </w:rPr>
        <w:t>The application checklist asks for a statement of public health mission, which is not something that most academic institutions will have.</w:t>
      </w:r>
    </w:p>
    <w:p w14:paraId="28D71395" w14:textId="77777777" w:rsidR="00B42A1F" w:rsidRPr="00FE251A" w:rsidRDefault="00B42A1F" w:rsidP="00B42A1F">
      <w:pPr>
        <w:pStyle w:val="ListParagraph"/>
        <w:numPr>
          <w:ilvl w:val="0"/>
          <w:numId w:val="1"/>
        </w:numPr>
        <w:rPr>
          <w:sz w:val="24"/>
          <w:szCs w:val="24"/>
        </w:rPr>
      </w:pPr>
      <w:r w:rsidRPr="00FE251A">
        <w:rPr>
          <w:sz w:val="24"/>
          <w:szCs w:val="24"/>
        </w:rPr>
        <w:t>Please ignore this requirement. It is an error and will be removed from the NOFO.</w:t>
      </w:r>
    </w:p>
    <w:p w14:paraId="69D8EE88" w14:textId="1C018712" w:rsidR="00557C8A" w:rsidRDefault="00557C8A" w:rsidP="00557C8A">
      <w:pPr>
        <w:pStyle w:val="Heading1"/>
      </w:pPr>
      <w:r>
        <w:t>Other questions</w:t>
      </w:r>
    </w:p>
    <w:p w14:paraId="3AEC1F20" w14:textId="20DAACD8" w:rsidR="00557C8A" w:rsidRPr="00FE251A" w:rsidRDefault="00557C8A" w:rsidP="00557C8A">
      <w:pPr>
        <w:spacing w:after="0" w:line="240" w:lineRule="auto"/>
        <w:rPr>
          <w:rFonts w:eastAsia="Times New Roman" w:cstheme="minorHAnsi"/>
          <w:b/>
          <w:bCs/>
          <w:color w:val="000000"/>
          <w:sz w:val="24"/>
          <w:szCs w:val="24"/>
        </w:rPr>
      </w:pPr>
      <w:r w:rsidRPr="00557C8A">
        <w:rPr>
          <w:rFonts w:eastAsia="Times New Roman" w:cstheme="minorHAnsi"/>
          <w:b/>
          <w:bCs/>
          <w:color w:val="000000"/>
          <w:sz w:val="24"/>
          <w:szCs w:val="24"/>
        </w:rPr>
        <w:t>When I click on attachments in Grants.gov I don’t see anything</w:t>
      </w:r>
      <w:r w:rsidRPr="00FE251A">
        <w:rPr>
          <w:rFonts w:eastAsia="Times New Roman" w:cstheme="minorHAnsi"/>
          <w:b/>
          <w:bCs/>
          <w:color w:val="000000"/>
          <w:sz w:val="24"/>
          <w:szCs w:val="24"/>
        </w:rPr>
        <w:t>.</w:t>
      </w:r>
    </w:p>
    <w:p w14:paraId="3EC88BCC" w14:textId="141F60FE" w:rsidR="00557C8A" w:rsidRPr="00FE251A" w:rsidRDefault="00557C8A" w:rsidP="00557C8A">
      <w:pPr>
        <w:pStyle w:val="ListParagraph"/>
        <w:numPr>
          <w:ilvl w:val="0"/>
          <w:numId w:val="1"/>
        </w:numPr>
        <w:spacing w:after="0" w:line="240" w:lineRule="auto"/>
        <w:rPr>
          <w:rFonts w:eastAsia="Times New Roman" w:cstheme="minorHAnsi"/>
          <w:color w:val="000000"/>
          <w:sz w:val="24"/>
          <w:szCs w:val="24"/>
        </w:rPr>
      </w:pPr>
      <w:r w:rsidRPr="00FE251A">
        <w:rPr>
          <w:rFonts w:eastAsia="Times New Roman" w:cstheme="minorHAnsi"/>
          <w:color w:val="000000"/>
          <w:sz w:val="24"/>
          <w:szCs w:val="24"/>
        </w:rPr>
        <w:t xml:space="preserve">Grants.gov includes placeholders for future documents. As we add attachments, like the recording for this session and a </w:t>
      </w:r>
      <w:r w:rsidR="00A74726" w:rsidRPr="00FE251A">
        <w:rPr>
          <w:rFonts w:eastAsia="Times New Roman" w:cstheme="minorHAnsi"/>
          <w:color w:val="000000"/>
          <w:sz w:val="24"/>
          <w:szCs w:val="24"/>
        </w:rPr>
        <w:t>question-and-answer</w:t>
      </w:r>
      <w:r w:rsidRPr="00FE251A">
        <w:rPr>
          <w:rFonts w:eastAsia="Times New Roman" w:cstheme="minorHAnsi"/>
          <w:color w:val="000000"/>
          <w:sz w:val="24"/>
          <w:szCs w:val="24"/>
        </w:rPr>
        <w:t xml:space="preserve"> guide, you will access them through these links.</w:t>
      </w:r>
    </w:p>
    <w:p w14:paraId="10FD9FBE" w14:textId="77777777" w:rsidR="00557C8A" w:rsidRDefault="00557C8A" w:rsidP="00557C8A"/>
    <w:p w14:paraId="0110426C" w14:textId="77777777" w:rsidR="00FE251A" w:rsidRDefault="00FE251A" w:rsidP="00FE251A">
      <w:pPr>
        <w:spacing w:after="0" w:line="240" w:lineRule="auto"/>
        <w:rPr>
          <w:rFonts w:ascii="Calibri" w:eastAsia="Times New Roman" w:hAnsi="Calibri" w:cs="Calibri"/>
          <w:b/>
          <w:bCs/>
          <w:color w:val="000000"/>
        </w:rPr>
      </w:pPr>
      <w:r w:rsidRPr="00FE251A">
        <w:rPr>
          <w:rFonts w:ascii="Calibri" w:eastAsia="Times New Roman" w:hAnsi="Calibri" w:cs="Calibri"/>
          <w:b/>
          <w:bCs/>
          <w:color w:val="000000"/>
        </w:rPr>
        <w:t>What if an awarded applicant comes up with one or more research topics in the future that would fit under Components D and E?</w:t>
      </w:r>
    </w:p>
    <w:p w14:paraId="3BF5F9D1" w14:textId="50C0FE35" w:rsidR="003D6196" w:rsidRPr="00CC41B2" w:rsidRDefault="008466E9" w:rsidP="003D6196">
      <w:pPr>
        <w:pStyle w:val="ListParagraph"/>
        <w:numPr>
          <w:ilvl w:val="0"/>
          <w:numId w:val="1"/>
        </w:numPr>
        <w:spacing w:after="0" w:line="240" w:lineRule="auto"/>
        <w:rPr>
          <w:rFonts w:ascii="Calibri" w:eastAsia="Times New Roman" w:hAnsi="Calibri" w:cs="Calibri"/>
          <w:color w:val="000000"/>
        </w:rPr>
      </w:pPr>
      <w:r w:rsidRPr="00CC41B2">
        <w:rPr>
          <w:rFonts w:ascii="Calibri" w:eastAsia="Times New Roman" w:hAnsi="Calibri" w:cs="Calibri"/>
          <w:color w:val="000000"/>
        </w:rPr>
        <w:t xml:space="preserve">Component D is capability based, not based on the research topics generated by the applicant. We </w:t>
      </w:r>
      <w:r w:rsidR="00FD3B3F" w:rsidRPr="00CC41B2">
        <w:rPr>
          <w:rFonts w:ascii="Calibri" w:eastAsia="Times New Roman" w:hAnsi="Calibri" w:cs="Calibri"/>
          <w:color w:val="000000"/>
        </w:rPr>
        <w:t xml:space="preserve">will be funding based on the ability to do future work should funds become available. </w:t>
      </w:r>
      <w:r w:rsidR="009361D1" w:rsidRPr="00CC41B2">
        <w:rPr>
          <w:rFonts w:ascii="Calibri" w:eastAsia="Times New Roman" w:hAnsi="Calibri" w:cs="Calibri"/>
          <w:color w:val="000000"/>
        </w:rPr>
        <w:t>When funds are available a call for proposals will be sent to those centers with the related capabilities. The</w:t>
      </w:r>
      <w:r w:rsidR="00B22CAD" w:rsidRPr="00CC41B2">
        <w:rPr>
          <w:rFonts w:ascii="Calibri" w:eastAsia="Times New Roman" w:hAnsi="Calibri" w:cs="Calibri"/>
          <w:color w:val="000000"/>
        </w:rPr>
        <w:t xml:space="preserve"> work will be dictated by the needs at the time and the parameters of the funding. Centers may or may not be able to propose independent research.</w:t>
      </w:r>
    </w:p>
    <w:p w14:paraId="6C211F26" w14:textId="1D5A68A1" w:rsidR="00B22CAD" w:rsidRPr="00CC41B2" w:rsidRDefault="00B22CAD" w:rsidP="003D6196">
      <w:pPr>
        <w:pStyle w:val="ListParagraph"/>
        <w:numPr>
          <w:ilvl w:val="0"/>
          <w:numId w:val="1"/>
        </w:numPr>
        <w:spacing w:after="0" w:line="240" w:lineRule="auto"/>
        <w:rPr>
          <w:rFonts w:ascii="Calibri" w:eastAsia="Times New Roman" w:hAnsi="Calibri" w:cs="Calibri"/>
          <w:color w:val="000000"/>
        </w:rPr>
      </w:pPr>
      <w:r w:rsidRPr="00CC41B2">
        <w:rPr>
          <w:rFonts w:ascii="Calibri" w:eastAsia="Times New Roman" w:hAnsi="Calibri" w:cs="Calibri"/>
          <w:color w:val="000000"/>
        </w:rPr>
        <w:t>Component E</w:t>
      </w:r>
      <w:r w:rsidR="003C0AD4" w:rsidRPr="00CC41B2">
        <w:rPr>
          <w:rFonts w:ascii="Calibri" w:eastAsia="Times New Roman" w:hAnsi="Calibri" w:cs="Calibri"/>
          <w:color w:val="000000"/>
        </w:rPr>
        <w:t xml:space="preserve"> will be drive by workplans created by working groups in the community</w:t>
      </w:r>
      <w:r w:rsidR="00A22E99" w:rsidRPr="00CC41B2">
        <w:rPr>
          <w:rFonts w:ascii="Calibri" w:eastAsia="Times New Roman" w:hAnsi="Calibri" w:cs="Calibri"/>
          <w:color w:val="000000"/>
        </w:rPr>
        <w:t xml:space="preserve">. </w:t>
      </w:r>
      <w:r w:rsidR="00AC66B6" w:rsidRPr="00CC41B2">
        <w:rPr>
          <w:rFonts w:ascii="Calibri" w:eastAsia="Times New Roman" w:hAnsi="Calibri" w:cs="Calibri"/>
          <w:color w:val="000000"/>
        </w:rPr>
        <w:t>Practice and r</w:t>
      </w:r>
      <w:r w:rsidR="00A22E99" w:rsidRPr="00CC41B2">
        <w:rPr>
          <w:rFonts w:ascii="Calibri" w:eastAsia="Times New Roman" w:hAnsi="Calibri" w:cs="Calibri"/>
          <w:color w:val="000000"/>
        </w:rPr>
        <w:t xml:space="preserve">esearch </w:t>
      </w:r>
      <w:r w:rsidR="00AC66B6" w:rsidRPr="00CC41B2">
        <w:rPr>
          <w:rFonts w:ascii="Calibri" w:eastAsia="Times New Roman" w:hAnsi="Calibri" w:cs="Calibri"/>
          <w:color w:val="000000"/>
        </w:rPr>
        <w:t xml:space="preserve">activities </w:t>
      </w:r>
      <w:r w:rsidR="00A22E99" w:rsidRPr="00CC41B2">
        <w:rPr>
          <w:rFonts w:ascii="Calibri" w:eastAsia="Times New Roman" w:hAnsi="Calibri" w:cs="Calibri"/>
          <w:color w:val="000000"/>
        </w:rPr>
        <w:t>will stem from these workplans.</w:t>
      </w:r>
      <w:r w:rsidR="00AC66B6" w:rsidRPr="00CC41B2">
        <w:rPr>
          <w:rFonts w:ascii="Calibri" w:eastAsia="Times New Roman" w:hAnsi="Calibri" w:cs="Calibri"/>
          <w:color w:val="000000"/>
        </w:rPr>
        <w:t xml:space="preserve"> </w:t>
      </w:r>
    </w:p>
    <w:p w14:paraId="02B3EB25" w14:textId="77777777" w:rsidR="00FE251A" w:rsidRPr="00FE251A" w:rsidRDefault="00FE251A" w:rsidP="00FE251A">
      <w:pPr>
        <w:spacing w:after="0" w:line="240" w:lineRule="auto"/>
        <w:rPr>
          <w:rFonts w:ascii="Calibri" w:eastAsia="Times New Roman" w:hAnsi="Calibri" w:cs="Calibri"/>
          <w:b/>
          <w:bCs/>
          <w:color w:val="000000"/>
        </w:rPr>
      </w:pPr>
    </w:p>
    <w:p w14:paraId="1AFCB231" w14:textId="27EF7BF4" w:rsidR="009B7CA9" w:rsidRDefault="007E59E9" w:rsidP="00FE251A">
      <w:pPr>
        <w:spacing w:after="0" w:line="240" w:lineRule="auto"/>
        <w:rPr>
          <w:rFonts w:ascii="Calibri" w:eastAsia="Times New Roman" w:hAnsi="Calibri" w:cs="Calibri"/>
          <w:b/>
          <w:bCs/>
          <w:color w:val="000000"/>
        </w:rPr>
      </w:pPr>
      <w:r w:rsidRPr="007E59E9">
        <w:rPr>
          <w:rFonts w:ascii="Calibri" w:eastAsia="Times New Roman" w:hAnsi="Calibri" w:cs="Calibri"/>
          <w:b/>
          <w:bCs/>
          <w:color w:val="000000"/>
        </w:rPr>
        <w:t>Can you clarify which is the appropriate announcement on Grants.gov? The Full Announcement is dated March 28, 2024, but there is an additional undated one</w:t>
      </w:r>
      <w:r w:rsidR="00D42293">
        <w:rPr>
          <w:rFonts w:ascii="Calibri" w:eastAsia="Times New Roman" w:hAnsi="Calibri" w:cs="Calibri"/>
          <w:b/>
          <w:bCs/>
          <w:color w:val="000000"/>
        </w:rPr>
        <w:t>.</w:t>
      </w:r>
    </w:p>
    <w:p w14:paraId="3ACE6D18" w14:textId="2F13E513" w:rsidR="00D42293" w:rsidRPr="00915AAB" w:rsidRDefault="00D42293" w:rsidP="00D42293">
      <w:pPr>
        <w:pStyle w:val="ListParagraph"/>
        <w:numPr>
          <w:ilvl w:val="0"/>
          <w:numId w:val="5"/>
        </w:numPr>
        <w:spacing w:after="0" w:line="240" w:lineRule="auto"/>
        <w:rPr>
          <w:rFonts w:ascii="Calibri" w:eastAsia="Times New Roman" w:hAnsi="Calibri" w:cs="Calibri"/>
          <w:color w:val="000000"/>
        </w:rPr>
      </w:pPr>
      <w:r w:rsidRPr="00915AAB">
        <w:rPr>
          <w:rFonts w:ascii="Calibri" w:eastAsia="Times New Roman" w:hAnsi="Calibri" w:cs="Calibri"/>
          <w:color w:val="000000"/>
        </w:rPr>
        <w:t xml:space="preserve">The Full Announcement link updated 3/28 is the correct announcement as of 4/2/2024. </w:t>
      </w:r>
      <w:r w:rsidR="00915AAB" w:rsidRPr="00915AAB">
        <w:rPr>
          <w:rFonts w:ascii="Calibri" w:eastAsia="Times New Roman" w:hAnsi="Calibri" w:cs="Calibri"/>
          <w:color w:val="000000"/>
        </w:rPr>
        <w:t xml:space="preserve">The 3/28/2024 version includes the correct NOFO due date of May 21, 2024. </w:t>
      </w:r>
      <w:r w:rsidRPr="00915AAB">
        <w:rPr>
          <w:rFonts w:ascii="Calibri" w:eastAsia="Times New Roman" w:hAnsi="Calibri" w:cs="Calibri"/>
          <w:color w:val="000000"/>
        </w:rPr>
        <w:t xml:space="preserve">The announcement may be updated again in the </w:t>
      </w:r>
      <w:r w:rsidR="00915AAB" w:rsidRPr="00915AAB">
        <w:rPr>
          <w:rFonts w:ascii="Calibri" w:eastAsia="Times New Roman" w:hAnsi="Calibri" w:cs="Calibri"/>
          <w:color w:val="000000"/>
        </w:rPr>
        <w:t>future. Please always refer to the most up-to-date version.</w:t>
      </w:r>
    </w:p>
    <w:p w14:paraId="19675100" w14:textId="77777777" w:rsidR="00384F67" w:rsidRDefault="00384F67" w:rsidP="00557C8A">
      <w:pPr>
        <w:rPr>
          <w:b/>
          <w:bCs/>
        </w:rPr>
      </w:pPr>
    </w:p>
    <w:p w14:paraId="0F49088A" w14:textId="559E73FD" w:rsidR="00FE251A" w:rsidRPr="0092371C" w:rsidRDefault="0092371C" w:rsidP="00557C8A">
      <w:pPr>
        <w:rPr>
          <w:b/>
          <w:bCs/>
        </w:rPr>
      </w:pPr>
      <w:r>
        <w:rPr>
          <w:b/>
          <w:bCs/>
        </w:rPr>
        <w:t xml:space="preserve">Who </w:t>
      </w:r>
      <w:r w:rsidR="00384F67">
        <w:rPr>
          <w:b/>
          <w:bCs/>
        </w:rPr>
        <w:t xml:space="preserve">holds the Regional Workplan Contract in my </w:t>
      </w:r>
      <w:r w:rsidR="00B15B19">
        <w:rPr>
          <w:b/>
          <w:bCs/>
        </w:rPr>
        <w:t>region</w:t>
      </w:r>
      <w:r w:rsidR="00384F67">
        <w:rPr>
          <w:b/>
          <w:bCs/>
        </w:rPr>
        <w:t>?</w:t>
      </w:r>
    </w:p>
    <w:p w14:paraId="1DF1FCB2" w14:textId="05CFAD48" w:rsidR="0092371C" w:rsidRPr="00944204" w:rsidRDefault="00F757AF" w:rsidP="00944204">
      <w:pPr>
        <w:pStyle w:val="ListParagraph"/>
        <w:numPr>
          <w:ilvl w:val="0"/>
          <w:numId w:val="5"/>
        </w:numPr>
        <w:rPr>
          <w:sz w:val="24"/>
          <w:szCs w:val="24"/>
        </w:rPr>
      </w:pPr>
      <w:r>
        <w:rPr>
          <w:sz w:val="24"/>
          <w:szCs w:val="24"/>
        </w:rPr>
        <w:t>Please see the table below. Please note that all states in each region with a contract are represented in the Regional Coordinating Bodies</w:t>
      </w:r>
      <w:r w:rsidR="00FB32E4">
        <w:rPr>
          <w:sz w:val="24"/>
          <w:szCs w:val="24"/>
        </w:rPr>
        <w:t xml:space="preserve"> and all Regional Coordinating Bodies include at least one PHEP Director</w:t>
      </w:r>
      <w:r w:rsidR="00DE379D">
        <w:rPr>
          <w:sz w:val="24"/>
          <w:szCs w:val="24"/>
        </w:rPr>
        <w:t xml:space="preserve"> and representatives from each state health department</w:t>
      </w:r>
      <w:r>
        <w:rPr>
          <w:sz w:val="24"/>
          <w:szCs w:val="24"/>
        </w:rPr>
        <w:t>.</w:t>
      </w:r>
    </w:p>
    <w:tbl>
      <w:tblPr>
        <w:tblW w:w="5000" w:type="pct"/>
        <w:tblCellMar>
          <w:left w:w="0" w:type="dxa"/>
          <w:right w:w="0" w:type="dxa"/>
        </w:tblCellMar>
        <w:tblLook w:val="04A0" w:firstRow="1" w:lastRow="0" w:firstColumn="1" w:lastColumn="0" w:noHBand="0" w:noVBand="1"/>
      </w:tblPr>
      <w:tblGrid>
        <w:gridCol w:w="4760"/>
        <w:gridCol w:w="4580"/>
      </w:tblGrid>
      <w:tr w:rsidR="00B15B19" w14:paraId="0EA4E3DE" w14:textId="028F04D5" w:rsidTr="00B15B19">
        <w:tc>
          <w:tcPr>
            <w:tcW w:w="2548" w:type="pct"/>
            <w:tcBorders>
              <w:top w:val="single" w:sz="8" w:space="0" w:color="auto"/>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6777F7FA" w14:textId="77777777" w:rsidR="00B15B19" w:rsidRDefault="00B15B19" w:rsidP="00E11E4E">
            <w:pPr>
              <w:rPr>
                <w:b/>
                <w:bCs/>
                <w:sz w:val="24"/>
                <w:szCs w:val="24"/>
              </w:rPr>
            </w:pPr>
            <w:r>
              <w:rPr>
                <w:b/>
                <w:bCs/>
                <w:color w:val="000000"/>
                <w:sz w:val="24"/>
                <w:szCs w:val="24"/>
              </w:rPr>
              <w:t>Contract Scope</w:t>
            </w:r>
          </w:p>
        </w:tc>
        <w:tc>
          <w:tcPr>
            <w:tcW w:w="2452" w:type="pct"/>
            <w:tcBorders>
              <w:top w:val="single" w:sz="8" w:space="0" w:color="auto"/>
              <w:left w:val="nil"/>
              <w:bottom w:val="single" w:sz="8" w:space="0" w:color="auto"/>
              <w:right w:val="single" w:sz="8" w:space="0" w:color="auto"/>
            </w:tcBorders>
            <w:shd w:val="clear" w:color="auto" w:fill="BFBFBF"/>
            <w:tcMar>
              <w:top w:w="0" w:type="dxa"/>
              <w:left w:w="108" w:type="dxa"/>
              <w:bottom w:w="0" w:type="dxa"/>
              <w:right w:w="108" w:type="dxa"/>
            </w:tcMar>
            <w:hideMark/>
          </w:tcPr>
          <w:p w14:paraId="00711E52" w14:textId="77777777" w:rsidR="00B15B19" w:rsidRDefault="00B15B19" w:rsidP="00E11E4E">
            <w:pPr>
              <w:rPr>
                <w:b/>
                <w:bCs/>
                <w:sz w:val="24"/>
                <w:szCs w:val="24"/>
              </w:rPr>
            </w:pPr>
            <w:r>
              <w:rPr>
                <w:b/>
                <w:bCs/>
                <w:color w:val="000000"/>
                <w:sz w:val="24"/>
                <w:szCs w:val="24"/>
              </w:rPr>
              <w:t>Awarded institution</w:t>
            </w:r>
          </w:p>
        </w:tc>
      </w:tr>
      <w:tr w:rsidR="00B15B19" w14:paraId="0E1A89BD" w14:textId="63218EAC" w:rsidTr="00B15B19">
        <w:trPr>
          <w:trHeight w:val="458"/>
        </w:trPr>
        <w:tc>
          <w:tcPr>
            <w:tcW w:w="25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C67857" w14:textId="77777777" w:rsidR="00B15B19" w:rsidRDefault="00B15B19" w:rsidP="00E11E4E">
            <w:pPr>
              <w:rPr>
                <w:sz w:val="24"/>
                <w:szCs w:val="24"/>
              </w:rPr>
            </w:pPr>
            <w:r>
              <w:rPr>
                <w:sz w:val="24"/>
                <w:szCs w:val="24"/>
              </w:rPr>
              <w:t>National Coordination, Technical Assistance, and Training</w:t>
            </w:r>
          </w:p>
        </w:tc>
        <w:tc>
          <w:tcPr>
            <w:tcW w:w="2452" w:type="pct"/>
            <w:tcBorders>
              <w:top w:val="nil"/>
              <w:left w:val="nil"/>
              <w:bottom w:val="single" w:sz="8" w:space="0" w:color="auto"/>
              <w:right w:val="single" w:sz="8" w:space="0" w:color="auto"/>
            </w:tcBorders>
            <w:tcMar>
              <w:top w:w="0" w:type="dxa"/>
              <w:left w:w="108" w:type="dxa"/>
              <w:bottom w:w="0" w:type="dxa"/>
              <w:right w:w="108" w:type="dxa"/>
            </w:tcMar>
            <w:hideMark/>
          </w:tcPr>
          <w:p w14:paraId="67038BE4" w14:textId="77777777" w:rsidR="00B15B19" w:rsidRDefault="00B15B19" w:rsidP="00E11E4E">
            <w:pPr>
              <w:rPr>
                <w:sz w:val="24"/>
                <w:szCs w:val="24"/>
              </w:rPr>
            </w:pPr>
            <w:r>
              <w:rPr>
                <w:sz w:val="24"/>
                <w:szCs w:val="24"/>
              </w:rPr>
              <w:t>Cadmus Group</w:t>
            </w:r>
          </w:p>
        </w:tc>
      </w:tr>
      <w:tr w:rsidR="00B15B19" w14:paraId="68A5C65D" w14:textId="1F1820CF" w:rsidTr="00B15B19">
        <w:trPr>
          <w:trHeight w:val="440"/>
        </w:trPr>
        <w:tc>
          <w:tcPr>
            <w:tcW w:w="25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22DE52" w14:textId="77777777" w:rsidR="00B15B19" w:rsidRDefault="00B15B19" w:rsidP="00E11E4E">
            <w:pPr>
              <w:rPr>
                <w:sz w:val="24"/>
                <w:szCs w:val="24"/>
              </w:rPr>
            </w:pPr>
            <w:r>
              <w:rPr>
                <w:sz w:val="24"/>
                <w:szCs w:val="24"/>
              </w:rPr>
              <w:t>HHS Region 3 (DE, DC, MD, PA, VA, WV)</w:t>
            </w:r>
          </w:p>
        </w:tc>
        <w:tc>
          <w:tcPr>
            <w:tcW w:w="2452" w:type="pct"/>
            <w:tcBorders>
              <w:top w:val="nil"/>
              <w:left w:val="nil"/>
              <w:bottom w:val="single" w:sz="8" w:space="0" w:color="auto"/>
              <w:right w:val="single" w:sz="8" w:space="0" w:color="auto"/>
            </w:tcBorders>
            <w:tcMar>
              <w:top w:w="0" w:type="dxa"/>
              <w:left w:w="108" w:type="dxa"/>
              <w:bottom w:w="0" w:type="dxa"/>
              <w:right w:w="108" w:type="dxa"/>
            </w:tcMar>
            <w:hideMark/>
          </w:tcPr>
          <w:p w14:paraId="73B7AE47" w14:textId="77777777" w:rsidR="00B15B19" w:rsidRDefault="00B15B19" w:rsidP="00E11E4E">
            <w:pPr>
              <w:rPr>
                <w:sz w:val="24"/>
                <w:szCs w:val="24"/>
              </w:rPr>
            </w:pPr>
            <w:r>
              <w:rPr>
                <w:sz w:val="24"/>
                <w:szCs w:val="24"/>
              </w:rPr>
              <w:t>Johns Hopkins University</w:t>
            </w:r>
          </w:p>
        </w:tc>
      </w:tr>
      <w:tr w:rsidR="00B15B19" w14:paraId="23130A59" w14:textId="226B9102" w:rsidTr="00B15B19">
        <w:trPr>
          <w:trHeight w:val="440"/>
        </w:trPr>
        <w:tc>
          <w:tcPr>
            <w:tcW w:w="25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B7BF44" w14:textId="77777777" w:rsidR="00B15B19" w:rsidRDefault="00B15B19" w:rsidP="00E11E4E">
            <w:pPr>
              <w:rPr>
                <w:sz w:val="24"/>
                <w:szCs w:val="24"/>
              </w:rPr>
            </w:pPr>
            <w:r>
              <w:rPr>
                <w:sz w:val="24"/>
                <w:szCs w:val="24"/>
              </w:rPr>
              <w:t>HHS Region 4 (AL, FL, GA, KY, MS, NC, SC, TN)</w:t>
            </w:r>
          </w:p>
        </w:tc>
        <w:tc>
          <w:tcPr>
            <w:tcW w:w="2452" w:type="pct"/>
            <w:tcBorders>
              <w:top w:val="nil"/>
              <w:left w:val="nil"/>
              <w:bottom w:val="single" w:sz="8" w:space="0" w:color="auto"/>
              <w:right w:val="single" w:sz="8" w:space="0" w:color="auto"/>
            </w:tcBorders>
            <w:tcMar>
              <w:top w:w="0" w:type="dxa"/>
              <w:left w:w="108" w:type="dxa"/>
              <w:bottom w:w="0" w:type="dxa"/>
              <w:right w:w="108" w:type="dxa"/>
            </w:tcMar>
            <w:hideMark/>
          </w:tcPr>
          <w:p w14:paraId="3631799B" w14:textId="77777777" w:rsidR="00B15B19" w:rsidRDefault="00B15B19" w:rsidP="00E11E4E">
            <w:pPr>
              <w:rPr>
                <w:sz w:val="24"/>
                <w:szCs w:val="24"/>
              </w:rPr>
            </w:pPr>
            <w:r>
              <w:rPr>
                <w:sz w:val="24"/>
                <w:szCs w:val="24"/>
              </w:rPr>
              <w:t>University of North Carolina – Chapel Hill</w:t>
            </w:r>
          </w:p>
        </w:tc>
      </w:tr>
      <w:tr w:rsidR="00B15B19" w14:paraId="6BC91C96" w14:textId="6F2BE157" w:rsidTr="00B15B19">
        <w:trPr>
          <w:trHeight w:val="440"/>
        </w:trPr>
        <w:tc>
          <w:tcPr>
            <w:tcW w:w="25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80C669" w14:textId="77777777" w:rsidR="00B15B19" w:rsidRDefault="00B15B19" w:rsidP="00E11E4E">
            <w:pPr>
              <w:rPr>
                <w:sz w:val="24"/>
                <w:szCs w:val="24"/>
              </w:rPr>
            </w:pPr>
            <w:r>
              <w:rPr>
                <w:sz w:val="24"/>
                <w:szCs w:val="24"/>
              </w:rPr>
              <w:t>HHS Region 6 (AR, LA, NM, OK, TX)</w:t>
            </w:r>
          </w:p>
        </w:tc>
        <w:tc>
          <w:tcPr>
            <w:tcW w:w="2452" w:type="pct"/>
            <w:tcBorders>
              <w:top w:val="nil"/>
              <w:left w:val="nil"/>
              <w:bottom w:val="single" w:sz="8" w:space="0" w:color="auto"/>
              <w:right w:val="single" w:sz="8" w:space="0" w:color="auto"/>
            </w:tcBorders>
            <w:tcMar>
              <w:top w:w="0" w:type="dxa"/>
              <w:left w:w="108" w:type="dxa"/>
              <w:bottom w:w="0" w:type="dxa"/>
              <w:right w:w="108" w:type="dxa"/>
            </w:tcMar>
            <w:hideMark/>
          </w:tcPr>
          <w:p w14:paraId="634867F5" w14:textId="77777777" w:rsidR="00B15B19" w:rsidRDefault="00B15B19" w:rsidP="00E11E4E">
            <w:pPr>
              <w:rPr>
                <w:sz w:val="24"/>
                <w:szCs w:val="24"/>
              </w:rPr>
            </w:pPr>
            <w:r>
              <w:rPr>
                <w:sz w:val="24"/>
                <w:szCs w:val="24"/>
              </w:rPr>
              <w:t>Tulane University</w:t>
            </w:r>
          </w:p>
        </w:tc>
      </w:tr>
      <w:tr w:rsidR="00B15B19" w14:paraId="4A2AAF4C" w14:textId="0FA325A8" w:rsidTr="00B15B19">
        <w:trPr>
          <w:trHeight w:val="440"/>
        </w:trPr>
        <w:tc>
          <w:tcPr>
            <w:tcW w:w="25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5A86A1" w14:textId="77777777" w:rsidR="00B15B19" w:rsidRDefault="00B15B19" w:rsidP="00E11E4E">
            <w:pPr>
              <w:rPr>
                <w:sz w:val="24"/>
                <w:szCs w:val="24"/>
              </w:rPr>
            </w:pPr>
            <w:r>
              <w:rPr>
                <w:sz w:val="24"/>
                <w:szCs w:val="24"/>
              </w:rPr>
              <w:t>HHS Region 7 (IA, KS, MO, NB)</w:t>
            </w:r>
          </w:p>
        </w:tc>
        <w:tc>
          <w:tcPr>
            <w:tcW w:w="2452" w:type="pct"/>
            <w:tcBorders>
              <w:top w:val="nil"/>
              <w:left w:val="nil"/>
              <w:bottom w:val="single" w:sz="8" w:space="0" w:color="auto"/>
              <w:right w:val="single" w:sz="8" w:space="0" w:color="auto"/>
            </w:tcBorders>
            <w:tcMar>
              <w:top w:w="0" w:type="dxa"/>
              <w:left w:w="108" w:type="dxa"/>
              <w:bottom w:w="0" w:type="dxa"/>
              <w:right w:w="108" w:type="dxa"/>
            </w:tcMar>
            <w:hideMark/>
          </w:tcPr>
          <w:p w14:paraId="34EB83C3" w14:textId="77777777" w:rsidR="00B15B19" w:rsidRDefault="00B15B19" w:rsidP="00E11E4E">
            <w:pPr>
              <w:rPr>
                <w:sz w:val="24"/>
                <w:szCs w:val="24"/>
              </w:rPr>
            </w:pPr>
            <w:r>
              <w:rPr>
                <w:sz w:val="24"/>
                <w:szCs w:val="24"/>
              </w:rPr>
              <w:t>University of Nebraska Medical Center</w:t>
            </w:r>
          </w:p>
        </w:tc>
      </w:tr>
      <w:tr w:rsidR="00B15B19" w14:paraId="1757FB35" w14:textId="7E4EDCC2" w:rsidTr="00B15B19">
        <w:trPr>
          <w:trHeight w:val="440"/>
        </w:trPr>
        <w:tc>
          <w:tcPr>
            <w:tcW w:w="25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93E02E" w14:textId="77777777" w:rsidR="00B15B19" w:rsidRDefault="00B15B19" w:rsidP="00E11E4E">
            <w:pPr>
              <w:rPr>
                <w:sz w:val="24"/>
                <w:szCs w:val="24"/>
              </w:rPr>
            </w:pPr>
            <w:r>
              <w:rPr>
                <w:sz w:val="24"/>
                <w:szCs w:val="24"/>
              </w:rPr>
              <w:t xml:space="preserve">HHS Region 8 (CO, MT, ND, </w:t>
            </w:r>
            <w:proofErr w:type="gramStart"/>
            <w:r>
              <w:rPr>
                <w:sz w:val="24"/>
                <w:szCs w:val="24"/>
              </w:rPr>
              <w:t>SD,UT</w:t>
            </w:r>
            <w:proofErr w:type="gramEnd"/>
            <w:r>
              <w:rPr>
                <w:sz w:val="24"/>
                <w:szCs w:val="24"/>
              </w:rPr>
              <w:t>,WY)</w:t>
            </w:r>
          </w:p>
        </w:tc>
        <w:tc>
          <w:tcPr>
            <w:tcW w:w="2452" w:type="pct"/>
            <w:tcBorders>
              <w:top w:val="nil"/>
              <w:left w:val="nil"/>
              <w:bottom w:val="single" w:sz="8" w:space="0" w:color="auto"/>
              <w:right w:val="single" w:sz="8" w:space="0" w:color="auto"/>
            </w:tcBorders>
            <w:tcMar>
              <w:top w:w="0" w:type="dxa"/>
              <w:left w:w="108" w:type="dxa"/>
              <w:bottom w:w="0" w:type="dxa"/>
              <w:right w:w="108" w:type="dxa"/>
            </w:tcMar>
            <w:hideMark/>
          </w:tcPr>
          <w:p w14:paraId="5E0C424A" w14:textId="77777777" w:rsidR="00B15B19" w:rsidRDefault="00B15B19" w:rsidP="00E11E4E">
            <w:pPr>
              <w:rPr>
                <w:sz w:val="24"/>
                <w:szCs w:val="24"/>
              </w:rPr>
            </w:pPr>
            <w:r>
              <w:rPr>
                <w:sz w:val="24"/>
                <w:szCs w:val="24"/>
              </w:rPr>
              <w:t>University of Utah</w:t>
            </w:r>
          </w:p>
        </w:tc>
      </w:tr>
      <w:tr w:rsidR="00B15B19" w14:paraId="725545D2" w14:textId="069AA79F" w:rsidTr="00B15B19">
        <w:trPr>
          <w:trHeight w:val="1340"/>
        </w:trPr>
        <w:tc>
          <w:tcPr>
            <w:tcW w:w="25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4CF06E" w14:textId="77777777" w:rsidR="00B15B19" w:rsidRDefault="00B15B19" w:rsidP="00E11E4E">
            <w:pPr>
              <w:rPr>
                <w:sz w:val="24"/>
                <w:szCs w:val="24"/>
              </w:rPr>
            </w:pPr>
            <w:r>
              <w:rPr>
                <w:sz w:val="24"/>
                <w:szCs w:val="24"/>
              </w:rPr>
              <w:t>HHS Region 9 (AZ, CA, HI, NV, Pacific Territories: American Samoa, Commonwealth of the Northern Mariana Islands, Federated States of Micronesia, Guam, Republic of Palau, Republic of the Marshall Islands)</w:t>
            </w:r>
          </w:p>
        </w:tc>
        <w:tc>
          <w:tcPr>
            <w:tcW w:w="2452" w:type="pct"/>
            <w:tcBorders>
              <w:top w:val="nil"/>
              <w:left w:val="nil"/>
              <w:bottom w:val="single" w:sz="8" w:space="0" w:color="auto"/>
              <w:right w:val="single" w:sz="8" w:space="0" w:color="auto"/>
            </w:tcBorders>
            <w:tcMar>
              <w:top w:w="0" w:type="dxa"/>
              <w:left w:w="108" w:type="dxa"/>
              <w:bottom w:w="0" w:type="dxa"/>
              <w:right w:w="108" w:type="dxa"/>
            </w:tcMar>
            <w:hideMark/>
          </w:tcPr>
          <w:p w14:paraId="13B06D14" w14:textId="77777777" w:rsidR="00B15B19" w:rsidRDefault="00B15B19" w:rsidP="00E11E4E">
            <w:pPr>
              <w:rPr>
                <w:sz w:val="24"/>
                <w:szCs w:val="24"/>
              </w:rPr>
            </w:pPr>
            <w:r>
              <w:rPr>
                <w:sz w:val="24"/>
                <w:szCs w:val="24"/>
              </w:rPr>
              <w:t>Public Health Institute</w:t>
            </w:r>
          </w:p>
        </w:tc>
      </w:tr>
      <w:tr w:rsidR="00B15B19" w14:paraId="0614462B" w14:textId="0ABC93BC" w:rsidTr="00B15B19">
        <w:trPr>
          <w:trHeight w:val="440"/>
        </w:trPr>
        <w:tc>
          <w:tcPr>
            <w:tcW w:w="25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6473E9" w14:textId="77777777" w:rsidR="00B15B19" w:rsidRDefault="00B15B19" w:rsidP="00E11E4E">
            <w:pPr>
              <w:rPr>
                <w:sz w:val="24"/>
                <w:szCs w:val="24"/>
              </w:rPr>
            </w:pPr>
            <w:r>
              <w:rPr>
                <w:sz w:val="24"/>
                <w:szCs w:val="24"/>
              </w:rPr>
              <w:t>HHS Region 10 (AK, ID, OR, WA)</w:t>
            </w:r>
          </w:p>
        </w:tc>
        <w:tc>
          <w:tcPr>
            <w:tcW w:w="2452" w:type="pct"/>
            <w:tcBorders>
              <w:top w:val="nil"/>
              <w:left w:val="nil"/>
              <w:bottom w:val="single" w:sz="8" w:space="0" w:color="auto"/>
              <w:right w:val="single" w:sz="8" w:space="0" w:color="auto"/>
            </w:tcBorders>
            <w:tcMar>
              <w:top w:w="0" w:type="dxa"/>
              <w:left w:w="108" w:type="dxa"/>
              <w:bottom w:w="0" w:type="dxa"/>
              <w:right w:w="108" w:type="dxa"/>
            </w:tcMar>
            <w:hideMark/>
          </w:tcPr>
          <w:p w14:paraId="44BF9DC4" w14:textId="77777777" w:rsidR="00B15B19" w:rsidRDefault="00B15B19" w:rsidP="00E11E4E">
            <w:pPr>
              <w:rPr>
                <w:sz w:val="24"/>
                <w:szCs w:val="24"/>
              </w:rPr>
            </w:pPr>
            <w:r>
              <w:rPr>
                <w:sz w:val="24"/>
                <w:szCs w:val="24"/>
              </w:rPr>
              <w:t>University of Washington</w:t>
            </w:r>
          </w:p>
        </w:tc>
      </w:tr>
    </w:tbl>
    <w:p w14:paraId="52D48A8E" w14:textId="77777777" w:rsidR="0092371C" w:rsidRDefault="0092371C" w:rsidP="0092371C">
      <w:pPr>
        <w:rPr>
          <w:sz w:val="24"/>
          <w:szCs w:val="24"/>
        </w:rPr>
      </w:pPr>
    </w:p>
    <w:p w14:paraId="59CFBBA5" w14:textId="77777777" w:rsidR="00B42A1F" w:rsidRDefault="00B42A1F"/>
    <w:sectPr w:rsidR="00B42A1F">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E0D90A" w14:textId="77777777" w:rsidR="00DF7451" w:rsidRDefault="00DF7451" w:rsidP="00FB32E4">
      <w:pPr>
        <w:spacing w:after="0" w:line="240" w:lineRule="auto"/>
      </w:pPr>
      <w:r>
        <w:separator/>
      </w:r>
    </w:p>
  </w:endnote>
  <w:endnote w:type="continuationSeparator" w:id="0">
    <w:p w14:paraId="69DE1C95" w14:textId="77777777" w:rsidR="00DF7451" w:rsidRDefault="00DF7451" w:rsidP="00FB32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96C6F" w14:textId="334884FC" w:rsidR="00FB32E4" w:rsidRDefault="00FB32E4">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C72703" w14:textId="77777777" w:rsidR="00DF7451" w:rsidRDefault="00DF7451" w:rsidP="00FB32E4">
      <w:pPr>
        <w:spacing w:after="0" w:line="240" w:lineRule="auto"/>
      </w:pPr>
      <w:r>
        <w:separator/>
      </w:r>
    </w:p>
  </w:footnote>
  <w:footnote w:type="continuationSeparator" w:id="0">
    <w:p w14:paraId="3259A678" w14:textId="77777777" w:rsidR="00DF7451" w:rsidRDefault="00DF7451" w:rsidP="00FB32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D0E80"/>
    <w:multiLevelType w:val="hybridMultilevel"/>
    <w:tmpl w:val="236651CA"/>
    <w:lvl w:ilvl="0" w:tplc="220225A2">
      <w:start w:val="12"/>
      <w:numFmt w:val="bullet"/>
      <w:lvlText w:val="-"/>
      <w:lvlJc w:val="left"/>
      <w:pPr>
        <w:ind w:left="1080" w:hanging="360"/>
      </w:pPr>
      <w:rPr>
        <w:rFonts w:ascii="Aptos" w:eastAsiaTheme="minorHAnsi" w:hAnsi="Aptos"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15:restartNumberingAfterBreak="0">
    <w:nsid w:val="1A0A21CC"/>
    <w:multiLevelType w:val="hybridMultilevel"/>
    <w:tmpl w:val="EC144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1B1137"/>
    <w:multiLevelType w:val="hybridMultilevel"/>
    <w:tmpl w:val="1AD6F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99293E"/>
    <w:multiLevelType w:val="hybridMultilevel"/>
    <w:tmpl w:val="B7DE5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39239371">
    <w:abstractNumId w:val="3"/>
  </w:num>
  <w:num w:numId="2" w16cid:durableId="1340236451">
    <w:abstractNumId w:val="0"/>
  </w:num>
  <w:num w:numId="3" w16cid:durableId="1838303247">
    <w:abstractNumId w:val="0"/>
  </w:num>
  <w:num w:numId="4" w16cid:durableId="776563592">
    <w:abstractNumId w:val="3"/>
  </w:num>
  <w:num w:numId="5" w16cid:durableId="354162963">
    <w:abstractNumId w:val="1"/>
  </w:num>
  <w:num w:numId="6" w16cid:durableId="5128387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70C"/>
    <w:rsid w:val="00054FB2"/>
    <w:rsid w:val="000658A1"/>
    <w:rsid w:val="000B2C5E"/>
    <w:rsid w:val="000F661E"/>
    <w:rsid w:val="00170EC5"/>
    <w:rsid w:val="00206FDA"/>
    <w:rsid w:val="002D64B2"/>
    <w:rsid w:val="00384F67"/>
    <w:rsid w:val="003867F4"/>
    <w:rsid w:val="003C0AD4"/>
    <w:rsid w:val="003D60FB"/>
    <w:rsid w:val="003D6196"/>
    <w:rsid w:val="004832F6"/>
    <w:rsid w:val="0049798A"/>
    <w:rsid w:val="00544701"/>
    <w:rsid w:val="00557C8A"/>
    <w:rsid w:val="005D3D76"/>
    <w:rsid w:val="00663A9E"/>
    <w:rsid w:val="006B6903"/>
    <w:rsid w:val="006F2433"/>
    <w:rsid w:val="007505AF"/>
    <w:rsid w:val="007E59E9"/>
    <w:rsid w:val="008466E9"/>
    <w:rsid w:val="00915AAB"/>
    <w:rsid w:val="0092371C"/>
    <w:rsid w:val="009361D1"/>
    <w:rsid w:val="00944204"/>
    <w:rsid w:val="009A6F2D"/>
    <w:rsid w:val="009B7CA9"/>
    <w:rsid w:val="009D2D65"/>
    <w:rsid w:val="009F4667"/>
    <w:rsid w:val="00A22E99"/>
    <w:rsid w:val="00A36B96"/>
    <w:rsid w:val="00A74726"/>
    <w:rsid w:val="00A81B80"/>
    <w:rsid w:val="00AC5FE9"/>
    <w:rsid w:val="00AC66B6"/>
    <w:rsid w:val="00B15B19"/>
    <w:rsid w:val="00B22CAD"/>
    <w:rsid w:val="00B42A1F"/>
    <w:rsid w:val="00BA6044"/>
    <w:rsid w:val="00C24FA4"/>
    <w:rsid w:val="00C63008"/>
    <w:rsid w:val="00CC41B2"/>
    <w:rsid w:val="00CD1ABD"/>
    <w:rsid w:val="00D42293"/>
    <w:rsid w:val="00D536B9"/>
    <w:rsid w:val="00D97F9C"/>
    <w:rsid w:val="00DB14A6"/>
    <w:rsid w:val="00DE379D"/>
    <w:rsid w:val="00DF7451"/>
    <w:rsid w:val="00E21431"/>
    <w:rsid w:val="00E37B1A"/>
    <w:rsid w:val="00E42184"/>
    <w:rsid w:val="00E929FE"/>
    <w:rsid w:val="00EA770C"/>
    <w:rsid w:val="00EF0DBC"/>
    <w:rsid w:val="00F15273"/>
    <w:rsid w:val="00F757AF"/>
    <w:rsid w:val="00F85936"/>
    <w:rsid w:val="00FB2E5B"/>
    <w:rsid w:val="00FB32E4"/>
    <w:rsid w:val="00FD3B3F"/>
    <w:rsid w:val="00FD4EFC"/>
    <w:rsid w:val="00FE0E51"/>
    <w:rsid w:val="00FE25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F02B3"/>
  <w15:chartTrackingRefBased/>
  <w15:docId w15:val="{354AA776-05C5-4567-9611-57480E0A6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7B1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EA770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EA770C"/>
  </w:style>
  <w:style w:type="character" w:customStyle="1" w:styleId="eop">
    <w:name w:val="eop"/>
    <w:basedOn w:val="DefaultParagraphFont"/>
    <w:rsid w:val="00EA770C"/>
  </w:style>
  <w:style w:type="paragraph" w:styleId="ListParagraph">
    <w:name w:val="List Paragraph"/>
    <w:basedOn w:val="Normal"/>
    <w:uiPriority w:val="34"/>
    <w:qFormat/>
    <w:rsid w:val="00EA770C"/>
    <w:pPr>
      <w:ind w:left="720"/>
      <w:contextualSpacing/>
    </w:pPr>
  </w:style>
  <w:style w:type="paragraph" w:styleId="NoSpacing">
    <w:name w:val="No Spacing"/>
    <w:uiPriority w:val="1"/>
    <w:qFormat/>
    <w:rsid w:val="00EA770C"/>
    <w:pPr>
      <w:spacing w:after="0" w:line="240" w:lineRule="auto"/>
    </w:pPr>
    <w:rPr>
      <w:kern w:val="2"/>
      <w14:ligatures w14:val="standardContextual"/>
    </w:rPr>
  </w:style>
  <w:style w:type="character" w:styleId="CommentReference">
    <w:name w:val="annotation reference"/>
    <w:basedOn w:val="DefaultParagraphFont"/>
    <w:uiPriority w:val="99"/>
    <w:semiHidden/>
    <w:unhideWhenUsed/>
    <w:rsid w:val="00E37B1A"/>
    <w:rPr>
      <w:sz w:val="16"/>
      <w:szCs w:val="16"/>
    </w:rPr>
  </w:style>
  <w:style w:type="paragraph" w:styleId="CommentText">
    <w:name w:val="annotation text"/>
    <w:basedOn w:val="Normal"/>
    <w:link w:val="CommentTextChar"/>
    <w:uiPriority w:val="99"/>
    <w:unhideWhenUsed/>
    <w:rsid w:val="00E37B1A"/>
    <w:pPr>
      <w:spacing w:line="240" w:lineRule="auto"/>
    </w:pPr>
    <w:rPr>
      <w:sz w:val="20"/>
      <w:szCs w:val="20"/>
    </w:rPr>
  </w:style>
  <w:style w:type="character" w:customStyle="1" w:styleId="CommentTextChar">
    <w:name w:val="Comment Text Char"/>
    <w:basedOn w:val="DefaultParagraphFont"/>
    <w:link w:val="CommentText"/>
    <w:uiPriority w:val="99"/>
    <w:rsid w:val="00E37B1A"/>
    <w:rPr>
      <w:sz w:val="20"/>
      <w:szCs w:val="20"/>
    </w:rPr>
  </w:style>
  <w:style w:type="paragraph" w:styleId="CommentSubject">
    <w:name w:val="annotation subject"/>
    <w:basedOn w:val="CommentText"/>
    <w:next w:val="CommentText"/>
    <w:link w:val="CommentSubjectChar"/>
    <w:uiPriority w:val="99"/>
    <w:semiHidden/>
    <w:unhideWhenUsed/>
    <w:rsid w:val="00E37B1A"/>
    <w:rPr>
      <w:b/>
      <w:bCs/>
    </w:rPr>
  </w:style>
  <w:style w:type="character" w:customStyle="1" w:styleId="CommentSubjectChar">
    <w:name w:val="Comment Subject Char"/>
    <w:basedOn w:val="CommentTextChar"/>
    <w:link w:val="CommentSubject"/>
    <w:uiPriority w:val="99"/>
    <w:semiHidden/>
    <w:rsid w:val="00E37B1A"/>
    <w:rPr>
      <w:b/>
      <w:bCs/>
      <w:sz w:val="20"/>
      <w:szCs w:val="20"/>
    </w:rPr>
  </w:style>
  <w:style w:type="character" w:customStyle="1" w:styleId="Heading1Char">
    <w:name w:val="Heading 1 Char"/>
    <w:basedOn w:val="DefaultParagraphFont"/>
    <w:link w:val="Heading1"/>
    <w:uiPriority w:val="9"/>
    <w:rsid w:val="00E37B1A"/>
    <w:rPr>
      <w:rFonts w:asciiTheme="majorHAnsi" w:eastAsiaTheme="majorEastAsia" w:hAnsiTheme="majorHAnsi" w:cstheme="majorBidi"/>
      <w:color w:val="2F5496" w:themeColor="accent1" w:themeShade="BF"/>
      <w:sz w:val="32"/>
      <w:szCs w:val="32"/>
    </w:rPr>
  </w:style>
  <w:style w:type="character" w:customStyle="1" w:styleId="findhit">
    <w:name w:val="findhit"/>
    <w:basedOn w:val="DefaultParagraphFont"/>
    <w:rsid w:val="00BA6044"/>
  </w:style>
  <w:style w:type="paragraph" w:styleId="Header">
    <w:name w:val="header"/>
    <w:basedOn w:val="Normal"/>
    <w:link w:val="HeaderChar"/>
    <w:uiPriority w:val="99"/>
    <w:unhideWhenUsed/>
    <w:rsid w:val="00FB32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32E4"/>
  </w:style>
  <w:style w:type="paragraph" w:styleId="Footer">
    <w:name w:val="footer"/>
    <w:basedOn w:val="Normal"/>
    <w:link w:val="FooterChar"/>
    <w:uiPriority w:val="99"/>
    <w:unhideWhenUsed/>
    <w:rsid w:val="00FB32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32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661756">
      <w:bodyDiv w:val="1"/>
      <w:marLeft w:val="0"/>
      <w:marRight w:val="0"/>
      <w:marTop w:val="0"/>
      <w:marBottom w:val="0"/>
      <w:divBdr>
        <w:top w:val="none" w:sz="0" w:space="0" w:color="auto"/>
        <w:left w:val="none" w:sz="0" w:space="0" w:color="auto"/>
        <w:bottom w:val="none" w:sz="0" w:space="0" w:color="auto"/>
        <w:right w:val="none" w:sz="0" w:space="0" w:color="auto"/>
      </w:divBdr>
      <w:divsChild>
        <w:div w:id="1098284322">
          <w:marLeft w:val="0"/>
          <w:marRight w:val="0"/>
          <w:marTop w:val="0"/>
          <w:marBottom w:val="0"/>
          <w:divBdr>
            <w:top w:val="none" w:sz="0" w:space="0" w:color="auto"/>
            <w:left w:val="none" w:sz="0" w:space="0" w:color="auto"/>
            <w:bottom w:val="none" w:sz="0" w:space="0" w:color="auto"/>
            <w:right w:val="none" w:sz="0" w:space="0" w:color="auto"/>
          </w:divBdr>
        </w:div>
        <w:div w:id="783617957">
          <w:marLeft w:val="0"/>
          <w:marRight w:val="0"/>
          <w:marTop w:val="0"/>
          <w:marBottom w:val="0"/>
          <w:divBdr>
            <w:top w:val="none" w:sz="0" w:space="0" w:color="auto"/>
            <w:left w:val="none" w:sz="0" w:space="0" w:color="auto"/>
            <w:bottom w:val="none" w:sz="0" w:space="0" w:color="auto"/>
            <w:right w:val="none" w:sz="0" w:space="0" w:color="auto"/>
          </w:divBdr>
        </w:div>
        <w:div w:id="941572678">
          <w:marLeft w:val="0"/>
          <w:marRight w:val="0"/>
          <w:marTop w:val="0"/>
          <w:marBottom w:val="0"/>
          <w:divBdr>
            <w:top w:val="none" w:sz="0" w:space="0" w:color="auto"/>
            <w:left w:val="none" w:sz="0" w:space="0" w:color="auto"/>
            <w:bottom w:val="none" w:sz="0" w:space="0" w:color="auto"/>
            <w:right w:val="none" w:sz="0" w:space="0" w:color="auto"/>
          </w:divBdr>
        </w:div>
      </w:divsChild>
    </w:div>
    <w:div w:id="94714485">
      <w:bodyDiv w:val="1"/>
      <w:marLeft w:val="0"/>
      <w:marRight w:val="0"/>
      <w:marTop w:val="0"/>
      <w:marBottom w:val="0"/>
      <w:divBdr>
        <w:top w:val="none" w:sz="0" w:space="0" w:color="auto"/>
        <w:left w:val="none" w:sz="0" w:space="0" w:color="auto"/>
        <w:bottom w:val="none" w:sz="0" w:space="0" w:color="auto"/>
        <w:right w:val="none" w:sz="0" w:space="0" w:color="auto"/>
      </w:divBdr>
    </w:div>
    <w:div w:id="197204307">
      <w:bodyDiv w:val="1"/>
      <w:marLeft w:val="0"/>
      <w:marRight w:val="0"/>
      <w:marTop w:val="0"/>
      <w:marBottom w:val="0"/>
      <w:divBdr>
        <w:top w:val="none" w:sz="0" w:space="0" w:color="auto"/>
        <w:left w:val="none" w:sz="0" w:space="0" w:color="auto"/>
        <w:bottom w:val="none" w:sz="0" w:space="0" w:color="auto"/>
        <w:right w:val="none" w:sz="0" w:space="0" w:color="auto"/>
      </w:divBdr>
    </w:div>
    <w:div w:id="231892474">
      <w:bodyDiv w:val="1"/>
      <w:marLeft w:val="0"/>
      <w:marRight w:val="0"/>
      <w:marTop w:val="0"/>
      <w:marBottom w:val="0"/>
      <w:divBdr>
        <w:top w:val="none" w:sz="0" w:space="0" w:color="auto"/>
        <w:left w:val="none" w:sz="0" w:space="0" w:color="auto"/>
        <w:bottom w:val="none" w:sz="0" w:space="0" w:color="auto"/>
        <w:right w:val="none" w:sz="0" w:space="0" w:color="auto"/>
      </w:divBdr>
    </w:div>
    <w:div w:id="237986976">
      <w:bodyDiv w:val="1"/>
      <w:marLeft w:val="0"/>
      <w:marRight w:val="0"/>
      <w:marTop w:val="0"/>
      <w:marBottom w:val="0"/>
      <w:divBdr>
        <w:top w:val="none" w:sz="0" w:space="0" w:color="auto"/>
        <w:left w:val="none" w:sz="0" w:space="0" w:color="auto"/>
        <w:bottom w:val="none" w:sz="0" w:space="0" w:color="auto"/>
        <w:right w:val="none" w:sz="0" w:space="0" w:color="auto"/>
      </w:divBdr>
    </w:div>
    <w:div w:id="303584194">
      <w:bodyDiv w:val="1"/>
      <w:marLeft w:val="0"/>
      <w:marRight w:val="0"/>
      <w:marTop w:val="0"/>
      <w:marBottom w:val="0"/>
      <w:divBdr>
        <w:top w:val="none" w:sz="0" w:space="0" w:color="auto"/>
        <w:left w:val="none" w:sz="0" w:space="0" w:color="auto"/>
        <w:bottom w:val="none" w:sz="0" w:space="0" w:color="auto"/>
        <w:right w:val="none" w:sz="0" w:space="0" w:color="auto"/>
      </w:divBdr>
    </w:div>
    <w:div w:id="498234225">
      <w:bodyDiv w:val="1"/>
      <w:marLeft w:val="0"/>
      <w:marRight w:val="0"/>
      <w:marTop w:val="0"/>
      <w:marBottom w:val="0"/>
      <w:divBdr>
        <w:top w:val="none" w:sz="0" w:space="0" w:color="auto"/>
        <w:left w:val="none" w:sz="0" w:space="0" w:color="auto"/>
        <w:bottom w:val="none" w:sz="0" w:space="0" w:color="auto"/>
        <w:right w:val="none" w:sz="0" w:space="0" w:color="auto"/>
      </w:divBdr>
    </w:div>
    <w:div w:id="670642023">
      <w:bodyDiv w:val="1"/>
      <w:marLeft w:val="0"/>
      <w:marRight w:val="0"/>
      <w:marTop w:val="0"/>
      <w:marBottom w:val="0"/>
      <w:divBdr>
        <w:top w:val="none" w:sz="0" w:space="0" w:color="auto"/>
        <w:left w:val="none" w:sz="0" w:space="0" w:color="auto"/>
        <w:bottom w:val="none" w:sz="0" w:space="0" w:color="auto"/>
        <w:right w:val="none" w:sz="0" w:space="0" w:color="auto"/>
      </w:divBdr>
    </w:div>
    <w:div w:id="675771408">
      <w:bodyDiv w:val="1"/>
      <w:marLeft w:val="0"/>
      <w:marRight w:val="0"/>
      <w:marTop w:val="0"/>
      <w:marBottom w:val="0"/>
      <w:divBdr>
        <w:top w:val="none" w:sz="0" w:space="0" w:color="auto"/>
        <w:left w:val="none" w:sz="0" w:space="0" w:color="auto"/>
        <w:bottom w:val="none" w:sz="0" w:space="0" w:color="auto"/>
        <w:right w:val="none" w:sz="0" w:space="0" w:color="auto"/>
      </w:divBdr>
    </w:div>
    <w:div w:id="860356909">
      <w:bodyDiv w:val="1"/>
      <w:marLeft w:val="0"/>
      <w:marRight w:val="0"/>
      <w:marTop w:val="0"/>
      <w:marBottom w:val="0"/>
      <w:divBdr>
        <w:top w:val="none" w:sz="0" w:space="0" w:color="auto"/>
        <w:left w:val="none" w:sz="0" w:space="0" w:color="auto"/>
        <w:bottom w:val="none" w:sz="0" w:space="0" w:color="auto"/>
        <w:right w:val="none" w:sz="0" w:space="0" w:color="auto"/>
      </w:divBdr>
    </w:div>
    <w:div w:id="949048296">
      <w:bodyDiv w:val="1"/>
      <w:marLeft w:val="0"/>
      <w:marRight w:val="0"/>
      <w:marTop w:val="0"/>
      <w:marBottom w:val="0"/>
      <w:divBdr>
        <w:top w:val="none" w:sz="0" w:space="0" w:color="auto"/>
        <w:left w:val="none" w:sz="0" w:space="0" w:color="auto"/>
        <w:bottom w:val="none" w:sz="0" w:space="0" w:color="auto"/>
        <w:right w:val="none" w:sz="0" w:space="0" w:color="auto"/>
      </w:divBdr>
    </w:div>
    <w:div w:id="962461711">
      <w:bodyDiv w:val="1"/>
      <w:marLeft w:val="0"/>
      <w:marRight w:val="0"/>
      <w:marTop w:val="0"/>
      <w:marBottom w:val="0"/>
      <w:divBdr>
        <w:top w:val="none" w:sz="0" w:space="0" w:color="auto"/>
        <w:left w:val="none" w:sz="0" w:space="0" w:color="auto"/>
        <w:bottom w:val="none" w:sz="0" w:space="0" w:color="auto"/>
        <w:right w:val="none" w:sz="0" w:space="0" w:color="auto"/>
      </w:divBdr>
    </w:div>
    <w:div w:id="967199964">
      <w:bodyDiv w:val="1"/>
      <w:marLeft w:val="0"/>
      <w:marRight w:val="0"/>
      <w:marTop w:val="0"/>
      <w:marBottom w:val="0"/>
      <w:divBdr>
        <w:top w:val="none" w:sz="0" w:space="0" w:color="auto"/>
        <w:left w:val="none" w:sz="0" w:space="0" w:color="auto"/>
        <w:bottom w:val="none" w:sz="0" w:space="0" w:color="auto"/>
        <w:right w:val="none" w:sz="0" w:space="0" w:color="auto"/>
      </w:divBdr>
    </w:div>
    <w:div w:id="974718088">
      <w:bodyDiv w:val="1"/>
      <w:marLeft w:val="0"/>
      <w:marRight w:val="0"/>
      <w:marTop w:val="0"/>
      <w:marBottom w:val="0"/>
      <w:divBdr>
        <w:top w:val="none" w:sz="0" w:space="0" w:color="auto"/>
        <w:left w:val="none" w:sz="0" w:space="0" w:color="auto"/>
        <w:bottom w:val="none" w:sz="0" w:space="0" w:color="auto"/>
        <w:right w:val="none" w:sz="0" w:space="0" w:color="auto"/>
      </w:divBdr>
    </w:div>
    <w:div w:id="1053503387">
      <w:bodyDiv w:val="1"/>
      <w:marLeft w:val="0"/>
      <w:marRight w:val="0"/>
      <w:marTop w:val="0"/>
      <w:marBottom w:val="0"/>
      <w:divBdr>
        <w:top w:val="none" w:sz="0" w:space="0" w:color="auto"/>
        <w:left w:val="none" w:sz="0" w:space="0" w:color="auto"/>
        <w:bottom w:val="none" w:sz="0" w:space="0" w:color="auto"/>
        <w:right w:val="none" w:sz="0" w:space="0" w:color="auto"/>
      </w:divBdr>
    </w:div>
    <w:div w:id="1292402081">
      <w:bodyDiv w:val="1"/>
      <w:marLeft w:val="0"/>
      <w:marRight w:val="0"/>
      <w:marTop w:val="0"/>
      <w:marBottom w:val="0"/>
      <w:divBdr>
        <w:top w:val="none" w:sz="0" w:space="0" w:color="auto"/>
        <w:left w:val="none" w:sz="0" w:space="0" w:color="auto"/>
        <w:bottom w:val="none" w:sz="0" w:space="0" w:color="auto"/>
        <w:right w:val="none" w:sz="0" w:space="0" w:color="auto"/>
      </w:divBdr>
    </w:div>
    <w:div w:id="1352605315">
      <w:bodyDiv w:val="1"/>
      <w:marLeft w:val="0"/>
      <w:marRight w:val="0"/>
      <w:marTop w:val="0"/>
      <w:marBottom w:val="0"/>
      <w:divBdr>
        <w:top w:val="none" w:sz="0" w:space="0" w:color="auto"/>
        <w:left w:val="none" w:sz="0" w:space="0" w:color="auto"/>
        <w:bottom w:val="none" w:sz="0" w:space="0" w:color="auto"/>
        <w:right w:val="none" w:sz="0" w:space="0" w:color="auto"/>
      </w:divBdr>
    </w:div>
    <w:div w:id="1415200078">
      <w:bodyDiv w:val="1"/>
      <w:marLeft w:val="0"/>
      <w:marRight w:val="0"/>
      <w:marTop w:val="0"/>
      <w:marBottom w:val="0"/>
      <w:divBdr>
        <w:top w:val="none" w:sz="0" w:space="0" w:color="auto"/>
        <w:left w:val="none" w:sz="0" w:space="0" w:color="auto"/>
        <w:bottom w:val="none" w:sz="0" w:space="0" w:color="auto"/>
        <w:right w:val="none" w:sz="0" w:space="0" w:color="auto"/>
      </w:divBdr>
    </w:div>
    <w:div w:id="1564022318">
      <w:bodyDiv w:val="1"/>
      <w:marLeft w:val="0"/>
      <w:marRight w:val="0"/>
      <w:marTop w:val="0"/>
      <w:marBottom w:val="0"/>
      <w:divBdr>
        <w:top w:val="none" w:sz="0" w:space="0" w:color="auto"/>
        <w:left w:val="none" w:sz="0" w:space="0" w:color="auto"/>
        <w:bottom w:val="none" w:sz="0" w:space="0" w:color="auto"/>
        <w:right w:val="none" w:sz="0" w:space="0" w:color="auto"/>
      </w:divBdr>
    </w:div>
    <w:div w:id="1790591681">
      <w:bodyDiv w:val="1"/>
      <w:marLeft w:val="0"/>
      <w:marRight w:val="0"/>
      <w:marTop w:val="0"/>
      <w:marBottom w:val="0"/>
      <w:divBdr>
        <w:top w:val="none" w:sz="0" w:space="0" w:color="auto"/>
        <w:left w:val="none" w:sz="0" w:space="0" w:color="auto"/>
        <w:bottom w:val="none" w:sz="0" w:space="0" w:color="auto"/>
        <w:right w:val="none" w:sz="0" w:space="0" w:color="auto"/>
      </w:divBdr>
    </w:div>
    <w:div w:id="1862352935">
      <w:bodyDiv w:val="1"/>
      <w:marLeft w:val="0"/>
      <w:marRight w:val="0"/>
      <w:marTop w:val="0"/>
      <w:marBottom w:val="0"/>
      <w:divBdr>
        <w:top w:val="none" w:sz="0" w:space="0" w:color="auto"/>
        <w:left w:val="none" w:sz="0" w:space="0" w:color="auto"/>
        <w:bottom w:val="none" w:sz="0" w:space="0" w:color="auto"/>
        <w:right w:val="none" w:sz="0" w:space="0" w:color="auto"/>
      </w:divBdr>
    </w:div>
    <w:div w:id="2095277002">
      <w:bodyDiv w:val="1"/>
      <w:marLeft w:val="0"/>
      <w:marRight w:val="0"/>
      <w:marTop w:val="0"/>
      <w:marBottom w:val="0"/>
      <w:divBdr>
        <w:top w:val="none" w:sz="0" w:space="0" w:color="auto"/>
        <w:left w:val="none" w:sz="0" w:space="0" w:color="auto"/>
        <w:bottom w:val="none" w:sz="0" w:space="0" w:color="auto"/>
        <w:right w:val="none" w:sz="0" w:space="0" w:color="auto"/>
      </w:divBdr>
    </w:div>
    <w:div w:id="2124761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5450</TotalTime>
  <Pages>1</Pages>
  <Words>1751</Words>
  <Characters>9986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Soler, Robin E. (CDC/IOD/ORR/DRRS)</dc:creator>
  <cp:keywords/>
  <dc:description/>
  <cp:lastModifiedBy>Soler, Robin E. (CDC/IOD/ORR/DRRS)</cp:lastModifiedBy>
  <cp:revision>6</cp:revision>
  <dcterms:created xsi:type="dcterms:W3CDTF">2024-04-08T14:36:00Z</dcterms:created>
  <dcterms:modified xsi:type="dcterms:W3CDTF">2024-04-08T14:43:00Z</dcterms:modified>
</cp:coreProperties>
</file>