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64106F" w14:textId="2AD74426" w:rsidR="00B42B3A" w:rsidRPr="00B42B3A" w:rsidRDefault="00B42B3A" w:rsidP="00B42B3A">
      <w:pPr>
        <w:pStyle w:val="paragraph"/>
        <w:spacing w:before="0" w:beforeAutospacing="0" w:after="0" w:afterAutospacing="0"/>
        <w:jc w:val="center"/>
        <w:textAlignment w:val="baseline"/>
        <w:rPr>
          <w:rFonts w:ascii="Calibri" w:hAnsi="Calibri" w:cs="Calibri"/>
          <w:color w:val="000000"/>
        </w:rPr>
      </w:pPr>
      <w:r w:rsidRPr="00B42B3A">
        <w:rPr>
          <w:rStyle w:val="normaltextrun"/>
          <w:rFonts w:ascii="Calibri" w:hAnsi="Calibri" w:cs="Calibri"/>
          <w:b/>
          <w:bCs/>
          <w:color w:val="000000"/>
        </w:rPr>
        <w:t xml:space="preserve">United States Department of State </w:t>
      </w:r>
      <w:r w:rsidRPr="00B42B3A">
        <w:rPr>
          <w:rStyle w:val="eop"/>
          <w:rFonts w:ascii="Calibri" w:hAnsi="Calibri" w:cs="Calibri"/>
          <w:color w:val="000000"/>
        </w:rPr>
        <w:t> </w:t>
      </w:r>
    </w:p>
    <w:p w14:paraId="71417CB1" w14:textId="77777777" w:rsidR="00B42B3A" w:rsidRPr="00B42B3A" w:rsidRDefault="00B42B3A" w:rsidP="00B42B3A">
      <w:pPr>
        <w:pStyle w:val="paragraph"/>
        <w:spacing w:before="0" w:beforeAutospacing="0" w:after="0" w:afterAutospacing="0"/>
        <w:jc w:val="center"/>
        <w:textAlignment w:val="baseline"/>
        <w:rPr>
          <w:rFonts w:ascii="Segoe UI" w:hAnsi="Segoe UI" w:cs="Segoe UI"/>
        </w:rPr>
      </w:pPr>
      <w:r w:rsidRPr="00B42B3A">
        <w:rPr>
          <w:rStyle w:val="normaltextrun"/>
          <w:rFonts w:ascii="Calibri" w:hAnsi="Calibri" w:cs="Calibri"/>
          <w:b/>
          <w:bCs/>
          <w:color w:val="000000"/>
        </w:rPr>
        <w:t>Bureau of Democracy, Human Rights and Labor (DRL)</w:t>
      </w:r>
      <w:r w:rsidRPr="00B42B3A">
        <w:rPr>
          <w:rStyle w:val="eop"/>
          <w:rFonts w:ascii="Calibri" w:hAnsi="Calibri" w:cs="Calibri"/>
          <w:color w:val="000000"/>
        </w:rPr>
        <w:t> </w:t>
      </w:r>
    </w:p>
    <w:p w14:paraId="78599533" w14:textId="1F5E26C5" w:rsidR="00B42B3A" w:rsidRDefault="00B42B3A" w:rsidP="00B42B3A">
      <w:pPr>
        <w:pStyle w:val="paragraph"/>
        <w:spacing w:before="0" w:beforeAutospacing="0" w:after="0" w:afterAutospacing="0"/>
        <w:jc w:val="center"/>
        <w:textAlignment w:val="baseline"/>
        <w:rPr>
          <w:rStyle w:val="eop"/>
          <w:rFonts w:ascii="Calibri" w:hAnsi="Calibri" w:cs="Calibri"/>
          <w:color w:val="000000"/>
        </w:rPr>
      </w:pPr>
      <w:r w:rsidRPr="00B42B3A">
        <w:rPr>
          <w:rStyle w:val="normaltextrun"/>
          <w:rFonts w:ascii="Calibri" w:hAnsi="Calibri" w:cs="Calibri"/>
          <w:b/>
          <w:bCs/>
          <w:color w:val="000000"/>
        </w:rPr>
        <w:t>Notice of Funding Opportunity (NOFO):  </w:t>
      </w:r>
      <w:r w:rsidRPr="00B42B3A">
        <w:rPr>
          <w:rStyle w:val="normaltextrun"/>
          <w:rFonts w:ascii="Calibri" w:hAnsi="Calibri" w:cs="Calibri"/>
          <w:color w:val="000000"/>
        </w:rPr>
        <w:t>DRL Support for Recently Exiled Cuban Human Rights Defenders</w:t>
      </w:r>
      <w:r w:rsidRPr="00B42B3A">
        <w:rPr>
          <w:rStyle w:val="eop"/>
          <w:rFonts w:ascii="Calibri" w:hAnsi="Calibri" w:cs="Calibri"/>
          <w:color w:val="000000"/>
        </w:rPr>
        <w:t> </w:t>
      </w:r>
    </w:p>
    <w:p w14:paraId="7A02198C" w14:textId="77777777" w:rsidR="00B42B3A" w:rsidRPr="00B42B3A" w:rsidRDefault="00B42B3A" w:rsidP="00B42B3A">
      <w:pPr>
        <w:pStyle w:val="paragraph"/>
        <w:spacing w:before="0" w:beforeAutospacing="0" w:after="0" w:afterAutospacing="0"/>
        <w:jc w:val="center"/>
        <w:textAlignment w:val="baseline"/>
        <w:rPr>
          <w:rFonts w:ascii="Segoe UI" w:hAnsi="Segoe UI" w:cs="Segoe UI"/>
        </w:rPr>
      </w:pPr>
    </w:p>
    <w:p w14:paraId="1FBDABF5" w14:textId="77777777" w:rsidR="00B42B3A" w:rsidRPr="00B42B3A" w:rsidRDefault="00B42B3A" w:rsidP="00B42B3A">
      <w:pPr>
        <w:pStyle w:val="paragraph"/>
        <w:spacing w:before="0" w:beforeAutospacing="0" w:after="0" w:afterAutospacing="0"/>
        <w:jc w:val="center"/>
        <w:textAlignment w:val="baseline"/>
        <w:rPr>
          <w:rFonts w:ascii="Segoe UI" w:hAnsi="Segoe UI" w:cs="Segoe UI"/>
        </w:rPr>
      </w:pPr>
      <w:r w:rsidRPr="00B42B3A">
        <w:rPr>
          <w:rStyle w:val="normaltextrun"/>
          <w:rFonts w:ascii="Calibri" w:hAnsi="Calibri" w:cs="Calibri"/>
          <w:color w:val="000000"/>
        </w:rPr>
        <w:t xml:space="preserve">This is the announcement of funding opportunity number </w:t>
      </w:r>
      <w:r w:rsidRPr="00B42B3A">
        <w:rPr>
          <w:rStyle w:val="normaltextrun"/>
          <w:rFonts w:ascii="Calibri" w:hAnsi="Calibri" w:cs="Calibri"/>
          <w:b/>
          <w:bCs/>
          <w:color w:val="000000"/>
        </w:rPr>
        <w:t>SFOP0009705</w:t>
      </w:r>
      <w:r w:rsidRPr="00B42B3A">
        <w:rPr>
          <w:rStyle w:val="eop"/>
          <w:rFonts w:ascii="Calibri" w:hAnsi="Calibri" w:cs="Calibri"/>
          <w:color w:val="000000"/>
        </w:rPr>
        <w:t> </w:t>
      </w:r>
    </w:p>
    <w:p w14:paraId="7EC45E93"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4A7A952B" w14:textId="3D9B02BA"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Catalog of Federal Domestic Assistance Number:</w:t>
      </w:r>
      <w:r w:rsidRPr="00B42B3A">
        <w:rPr>
          <w:rStyle w:val="normaltextrun"/>
          <w:rFonts w:ascii="Calibri" w:hAnsi="Calibri" w:cs="Calibri"/>
          <w:color w:val="000000"/>
        </w:rPr>
        <w:t xml:space="preserve">  19.345</w:t>
      </w:r>
      <w:r w:rsidRPr="00B42B3A">
        <w:rPr>
          <w:rStyle w:val="eop"/>
          <w:rFonts w:ascii="Calibri" w:hAnsi="Calibri" w:cs="Calibri"/>
          <w:color w:val="000000"/>
        </w:rPr>
        <w:t> </w:t>
      </w:r>
    </w:p>
    <w:p w14:paraId="4F27B1B6"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color w:val="000000"/>
        </w:rPr>
      </w:pPr>
    </w:p>
    <w:p w14:paraId="5BB9712E" w14:textId="40D96C48"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Type of Solicitation:</w:t>
      </w:r>
      <w:r w:rsidRPr="00B42B3A">
        <w:rPr>
          <w:rStyle w:val="normaltextrun"/>
          <w:rFonts w:ascii="Calibri" w:hAnsi="Calibri" w:cs="Calibri"/>
          <w:color w:val="000000"/>
        </w:rPr>
        <w:t xml:space="preserve">  Open Competition</w:t>
      </w:r>
      <w:r w:rsidRPr="00B42B3A">
        <w:rPr>
          <w:rStyle w:val="eop"/>
          <w:rFonts w:ascii="Calibri" w:hAnsi="Calibri" w:cs="Calibri"/>
          <w:color w:val="000000"/>
        </w:rPr>
        <w:t> </w:t>
      </w:r>
    </w:p>
    <w:p w14:paraId="794D4138"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7437D463" w14:textId="0C300DF0"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 xml:space="preserve">Application Deadline: </w:t>
      </w:r>
      <w:r w:rsidRPr="00B42B3A">
        <w:rPr>
          <w:rStyle w:val="normaltextrun"/>
          <w:rFonts w:ascii="Calibri" w:hAnsi="Calibri" w:cs="Calibri"/>
          <w:color w:val="000000"/>
        </w:rPr>
        <w:t xml:space="preserve"> 11:59 PM EST </w:t>
      </w:r>
      <w:r w:rsidRPr="000328F1">
        <w:rPr>
          <w:rStyle w:val="normaltextrun"/>
          <w:rFonts w:ascii="Calibri" w:hAnsi="Calibri" w:cs="Calibri"/>
          <w:color w:val="000000"/>
        </w:rPr>
        <w:t>on</w:t>
      </w:r>
      <w:r w:rsidR="000328F1">
        <w:rPr>
          <w:rStyle w:val="normaltextrun"/>
          <w:rFonts w:ascii="Calibri" w:hAnsi="Calibri" w:cs="Calibri"/>
          <w:color w:val="000000"/>
        </w:rPr>
        <w:t xml:space="preserve"> Monday, June 26, 2023</w:t>
      </w:r>
    </w:p>
    <w:p w14:paraId="62254378"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1CDBE2A3" w14:textId="23CBF290"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 xml:space="preserve">Total Funding Floor:  </w:t>
      </w:r>
      <w:r w:rsidRPr="00B42B3A">
        <w:rPr>
          <w:rStyle w:val="normaltextrun"/>
          <w:rFonts w:ascii="Calibri" w:hAnsi="Calibri" w:cs="Calibri"/>
          <w:color w:val="000000"/>
        </w:rPr>
        <w:t>$750,000</w:t>
      </w:r>
      <w:r w:rsidRPr="00B42B3A">
        <w:rPr>
          <w:rStyle w:val="eop"/>
          <w:rFonts w:ascii="Calibri" w:hAnsi="Calibri" w:cs="Calibri"/>
          <w:color w:val="000000"/>
        </w:rPr>
        <w:t> </w:t>
      </w:r>
    </w:p>
    <w:p w14:paraId="1B6A64AD"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3A9246AE" w14:textId="4A9A4589"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 xml:space="preserve">Total Funding Ceiling:  </w:t>
      </w:r>
      <w:r w:rsidRPr="00B42B3A">
        <w:rPr>
          <w:rStyle w:val="normaltextrun"/>
          <w:rFonts w:ascii="Calibri" w:hAnsi="Calibri" w:cs="Calibri"/>
          <w:color w:val="000000"/>
        </w:rPr>
        <w:t>$750,000</w:t>
      </w:r>
      <w:r w:rsidRPr="00B42B3A">
        <w:rPr>
          <w:rStyle w:val="eop"/>
          <w:rFonts w:ascii="Calibri" w:hAnsi="Calibri" w:cs="Calibri"/>
          <w:color w:val="000000"/>
        </w:rPr>
        <w:t> </w:t>
      </w:r>
    </w:p>
    <w:p w14:paraId="6240C5B1"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color w:val="000000"/>
        </w:rPr>
      </w:pPr>
    </w:p>
    <w:p w14:paraId="18AE5549" w14:textId="52CE02D4"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Anticipated Number of Awards:  </w:t>
      </w:r>
      <w:r w:rsidRPr="00B42B3A">
        <w:rPr>
          <w:rStyle w:val="normaltextrun"/>
          <w:rFonts w:ascii="Calibri" w:hAnsi="Calibri" w:cs="Calibri"/>
          <w:color w:val="000000"/>
        </w:rPr>
        <w:t xml:space="preserve">1-2 </w:t>
      </w:r>
      <w:r w:rsidRPr="00B42B3A">
        <w:rPr>
          <w:rStyle w:val="eop"/>
          <w:rFonts w:ascii="Calibri" w:hAnsi="Calibri" w:cs="Calibri"/>
          <w:color w:val="000000"/>
        </w:rPr>
        <w:t> </w:t>
      </w:r>
    </w:p>
    <w:p w14:paraId="46FC296D"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color w:val="000000"/>
        </w:rPr>
      </w:pPr>
    </w:p>
    <w:p w14:paraId="730A7D5A" w14:textId="444F5CC0"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 xml:space="preserve">Type of Award: </w:t>
      </w:r>
      <w:r w:rsidRPr="00B42B3A">
        <w:rPr>
          <w:rStyle w:val="normaltextrun"/>
          <w:rFonts w:ascii="Calibri" w:hAnsi="Calibri" w:cs="Calibri"/>
          <w:color w:val="000000"/>
        </w:rPr>
        <w:t xml:space="preserve">Cooperative Agreement </w:t>
      </w:r>
      <w:r w:rsidRPr="00B42B3A">
        <w:rPr>
          <w:rStyle w:val="eop"/>
          <w:rFonts w:ascii="Calibri" w:hAnsi="Calibri" w:cs="Calibri"/>
          <w:color w:val="000000"/>
        </w:rPr>
        <w:t> </w:t>
      </w:r>
    </w:p>
    <w:p w14:paraId="55265A6C"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7477C97F" w14:textId="056D8224"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Period of Performance:</w:t>
      </w:r>
      <w:r w:rsidRPr="00B42B3A">
        <w:rPr>
          <w:rStyle w:val="normaltextrun"/>
          <w:rFonts w:ascii="Calibri" w:hAnsi="Calibri" w:cs="Calibri"/>
          <w:color w:val="000000"/>
        </w:rPr>
        <w:t xml:space="preserve">  Minimum of 24 months</w:t>
      </w:r>
      <w:r w:rsidRPr="00B42B3A">
        <w:rPr>
          <w:rStyle w:val="eop"/>
          <w:rFonts w:ascii="Calibri" w:hAnsi="Calibri" w:cs="Calibri"/>
          <w:color w:val="000000"/>
        </w:rPr>
        <w:t> </w:t>
      </w:r>
    </w:p>
    <w:p w14:paraId="14B1A2E3" w14:textId="77777777" w:rsidR="00B42B3A" w:rsidRDefault="00B42B3A" w:rsidP="00B42B3A">
      <w:pPr>
        <w:pStyle w:val="paragraph"/>
        <w:spacing w:before="0" w:beforeAutospacing="0" w:after="0" w:afterAutospacing="0"/>
        <w:jc w:val="both"/>
        <w:textAlignment w:val="baseline"/>
        <w:rPr>
          <w:rStyle w:val="normaltextrun"/>
          <w:rFonts w:ascii="Calibri" w:hAnsi="Calibri" w:cs="Calibri"/>
          <w:b/>
          <w:bCs/>
          <w:color w:val="000000"/>
        </w:rPr>
      </w:pPr>
    </w:p>
    <w:p w14:paraId="327A0B3E" w14:textId="3B67B5AE" w:rsidR="00B42B3A" w:rsidRPr="00B42B3A" w:rsidRDefault="00B42B3A" w:rsidP="00B42B3A">
      <w:pPr>
        <w:pStyle w:val="paragraph"/>
        <w:spacing w:before="0" w:beforeAutospacing="0" w:after="0" w:afterAutospacing="0"/>
        <w:jc w:val="both"/>
        <w:textAlignment w:val="baseline"/>
        <w:rPr>
          <w:rFonts w:ascii="Segoe UI" w:hAnsi="Segoe UI" w:cs="Segoe UI"/>
        </w:rPr>
      </w:pPr>
      <w:r w:rsidRPr="00B42B3A">
        <w:rPr>
          <w:rStyle w:val="normaltextrun"/>
          <w:rFonts w:ascii="Calibri" w:hAnsi="Calibri" w:cs="Calibri"/>
          <w:b/>
          <w:bCs/>
          <w:color w:val="000000"/>
        </w:rPr>
        <w:t>Anticipated Time to Award, Pending Availability of Funds:</w:t>
      </w:r>
      <w:r w:rsidRPr="00B42B3A">
        <w:rPr>
          <w:rStyle w:val="normaltextrun"/>
          <w:rFonts w:ascii="Calibri" w:hAnsi="Calibri" w:cs="Calibri"/>
          <w:color w:val="000000"/>
        </w:rPr>
        <w:t xml:space="preserve">  5-6 months</w:t>
      </w:r>
      <w:r w:rsidRPr="00B42B3A">
        <w:rPr>
          <w:rStyle w:val="eop"/>
          <w:rFonts w:ascii="Calibri" w:hAnsi="Calibri" w:cs="Calibri"/>
          <w:color w:val="000000"/>
        </w:rPr>
        <w:t> </w:t>
      </w:r>
    </w:p>
    <w:p w14:paraId="687A241E" w14:textId="77777777" w:rsidR="00290D8C" w:rsidRPr="00B42B3A"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4607A8" w:rsidRDefault="596EF974" w:rsidP="004607A8">
      <w:pPr>
        <w:spacing w:after="0" w:line="240" w:lineRule="auto"/>
        <w:contextualSpacing/>
        <w:rPr>
          <w:rFonts w:asciiTheme="minorHAnsi" w:hAnsiTheme="minorHAnsi" w:cstheme="minorHAnsi"/>
          <w:sz w:val="24"/>
          <w:szCs w:val="24"/>
        </w:rPr>
      </w:pPr>
      <w:r w:rsidRPr="004607A8">
        <w:rPr>
          <w:rFonts w:asciiTheme="minorHAnsi" w:eastAsia="Times New Roman" w:hAnsiTheme="minorHAnsi" w:cstheme="minorHAnsi"/>
          <w:b/>
          <w:bCs/>
          <w:smallCaps/>
          <w:sz w:val="24"/>
          <w:szCs w:val="24"/>
        </w:rPr>
        <w:t>A. Project Description</w:t>
      </w:r>
    </w:p>
    <w:p w14:paraId="16C36BCA" w14:textId="77777777" w:rsidR="00290D8C" w:rsidRPr="004607A8" w:rsidRDefault="00290D8C" w:rsidP="004607A8">
      <w:pPr>
        <w:spacing w:after="0" w:line="240" w:lineRule="auto"/>
        <w:contextualSpacing/>
        <w:rPr>
          <w:rFonts w:asciiTheme="minorHAnsi" w:hAnsiTheme="minorHAnsi" w:cstheme="minorHAnsi"/>
          <w:sz w:val="24"/>
          <w:szCs w:val="24"/>
        </w:rPr>
      </w:pPr>
    </w:p>
    <w:p w14:paraId="4329B23A" w14:textId="77777777" w:rsidR="004607A8" w:rsidRPr="004607A8" w:rsidRDefault="004607A8" w:rsidP="004607A8">
      <w:pPr>
        <w:spacing w:after="0" w:line="240" w:lineRule="auto"/>
        <w:contextualSpacing/>
        <w:rPr>
          <w:color w:val="000000" w:themeColor="text1"/>
          <w:sz w:val="24"/>
          <w:szCs w:val="24"/>
        </w:rPr>
      </w:pPr>
      <w:r w:rsidRPr="004607A8">
        <w:rPr>
          <w:color w:val="000000" w:themeColor="text1"/>
          <w:sz w:val="24"/>
          <w:szCs w:val="24"/>
        </w:rPr>
        <w:t>The Bureau of Democracy, Human Rights and Labor (DRL) announces an open competition for organizations interested in submitting applications for a program to strengthen independent Cuban civil society on-island through improved collaboration with recently exiled human rights defenders, including artists, journalists and activists.</w:t>
      </w:r>
    </w:p>
    <w:p w14:paraId="31A745D8" w14:textId="77777777" w:rsidR="004607A8" w:rsidRPr="004607A8" w:rsidRDefault="004607A8" w:rsidP="004607A8">
      <w:pPr>
        <w:spacing w:after="0" w:line="240" w:lineRule="auto"/>
        <w:contextualSpacing/>
        <w:rPr>
          <w:b/>
          <w:bCs/>
          <w:color w:val="000000" w:themeColor="text1"/>
          <w:sz w:val="24"/>
          <w:szCs w:val="24"/>
        </w:rPr>
      </w:pPr>
    </w:p>
    <w:p w14:paraId="792F4316" w14:textId="77777777" w:rsidR="004607A8" w:rsidRPr="004607A8" w:rsidRDefault="004607A8" w:rsidP="004607A8">
      <w:pPr>
        <w:spacing w:after="0" w:line="240" w:lineRule="auto"/>
        <w:contextualSpacing/>
        <w:rPr>
          <w:color w:val="000000" w:themeColor="text1"/>
          <w:sz w:val="24"/>
          <w:szCs w:val="24"/>
        </w:rPr>
      </w:pPr>
      <w:r w:rsidRPr="004607A8">
        <w:rPr>
          <w:b/>
          <w:bCs/>
          <w:color w:val="000000" w:themeColor="text1"/>
          <w:sz w:val="24"/>
          <w:szCs w:val="24"/>
        </w:rPr>
        <w:t xml:space="preserve">Context: </w:t>
      </w:r>
    </w:p>
    <w:p w14:paraId="252D981B" w14:textId="77777777" w:rsidR="004607A8" w:rsidRPr="004607A8" w:rsidRDefault="004607A8" w:rsidP="004607A8">
      <w:pPr>
        <w:spacing w:after="0" w:line="240" w:lineRule="auto"/>
        <w:contextualSpacing/>
        <w:rPr>
          <w:color w:val="000000" w:themeColor="text1"/>
          <w:sz w:val="24"/>
          <w:szCs w:val="24"/>
        </w:rPr>
      </w:pPr>
      <w:r w:rsidRPr="004607A8">
        <w:rPr>
          <w:color w:val="000000" w:themeColor="text1"/>
          <w:sz w:val="24"/>
          <w:szCs w:val="24"/>
        </w:rPr>
        <w:t xml:space="preserve">In 2022, nearly 250,000 Cubans left the island, more than two percent of its population. A number of these migrants are human rights defenders, including independent artists, activists and journalists, who were either forced into exile by government authorities, or decided to relocate in response to the regime’s harassment and the inability to participate in civic life. For those independent voices who are still on-island, the situation continues to worsen as they face continuous repression and harassment from Cuba state security. This wave of migration has weakened independent civil society groups, which have lost leaders and prominent members resulting in a loss of institutional memory, organizational capacity, and lowered morale. Additionally, the worsening economic situation on-island limits the ability of Cuban activists to dedicate time and energy to organizing around issues in their community. Consequently, Cuba </w:t>
      </w:r>
      <w:r w:rsidRPr="004607A8">
        <w:rPr>
          <w:color w:val="000000" w:themeColor="text1"/>
          <w:sz w:val="24"/>
          <w:szCs w:val="24"/>
        </w:rPr>
        <w:lastRenderedPageBreak/>
        <w:t xml:space="preserve">is facing declining civic participation from independent voices, as activists either self-censor, are exiled, or are unable to reach and engage with new actors. </w:t>
      </w:r>
    </w:p>
    <w:p w14:paraId="61311A0D" w14:textId="77777777" w:rsidR="004607A8" w:rsidRPr="004607A8" w:rsidRDefault="004607A8" w:rsidP="004607A8">
      <w:pPr>
        <w:spacing w:after="0" w:line="240" w:lineRule="auto"/>
        <w:contextualSpacing/>
        <w:rPr>
          <w:color w:val="000000" w:themeColor="text1"/>
          <w:sz w:val="24"/>
          <w:szCs w:val="24"/>
        </w:rPr>
      </w:pPr>
    </w:p>
    <w:p w14:paraId="33C1412F" w14:textId="77777777" w:rsidR="004607A8" w:rsidRPr="004607A8" w:rsidRDefault="004607A8" w:rsidP="004607A8">
      <w:pPr>
        <w:spacing w:after="0" w:line="240" w:lineRule="auto"/>
        <w:contextualSpacing/>
        <w:rPr>
          <w:color w:val="000000" w:themeColor="text1"/>
          <w:sz w:val="24"/>
          <w:szCs w:val="24"/>
        </w:rPr>
      </w:pPr>
      <w:r w:rsidRPr="004607A8">
        <w:rPr>
          <w:color w:val="000000" w:themeColor="text1"/>
          <w:sz w:val="24"/>
          <w:szCs w:val="24"/>
        </w:rPr>
        <w:t>In exile, democratic actors face a number of barriers to continuing their activism, including fundamental resettlement needs, such as legal and psychosocial support. These groups have immense potential to continue their advocacy and support the partners networks left in Cuba who have the potential to rebuild and restore an active independent civil society.</w:t>
      </w:r>
    </w:p>
    <w:p w14:paraId="17EE8776" w14:textId="77777777" w:rsidR="004607A8" w:rsidRPr="004607A8" w:rsidRDefault="004607A8" w:rsidP="004607A8">
      <w:pPr>
        <w:spacing w:after="0" w:line="240" w:lineRule="auto"/>
        <w:contextualSpacing/>
        <w:rPr>
          <w:b/>
          <w:bCs/>
          <w:color w:val="000000" w:themeColor="text1"/>
          <w:sz w:val="24"/>
          <w:szCs w:val="24"/>
        </w:rPr>
      </w:pPr>
    </w:p>
    <w:p w14:paraId="34CF761C" w14:textId="77777777" w:rsidR="004607A8" w:rsidRPr="004607A8" w:rsidRDefault="004607A8" w:rsidP="004607A8">
      <w:pPr>
        <w:spacing w:after="0" w:line="240" w:lineRule="auto"/>
        <w:contextualSpacing/>
        <w:rPr>
          <w:color w:val="000000" w:themeColor="text1"/>
          <w:sz w:val="24"/>
          <w:szCs w:val="24"/>
        </w:rPr>
      </w:pPr>
      <w:r w:rsidRPr="004607A8">
        <w:rPr>
          <w:b/>
          <w:bCs/>
          <w:color w:val="000000" w:themeColor="text1"/>
          <w:sz w:val="24"/>
          <w:szCs w:val="24"/>
        </w:rPr>
        <w:t>Goal:</w:t>
      </w:r>
    </w:p>
    <w:p w14:paraId="15F2EB83" w14:textId="77777777" w:rsidR="004607A8" w:rsidRPr="004607A8" w:rsidRDefault="004607A8" w:rsidP="004607A8">
      <w:pPr>
        <w:spacing w:after="0" w:line="240" w:lineRule="auto"/>
        <w:contextualSpacing/>
        <w:rPr>
          <w:color w:val="000000" w:themeColor="text1"/>
          <w:sz w:val="24"/>
          <w:szCs w:val="24"/>
        </w:rPr>
      </w:pPr>
      <w:r w:rsidRPr="004607A8">
        <w:rPr>
          <w:i/>
          <w:iCs/>
          <w:color w:val="000000" w:themeColor="text1"/>
          <w:sz w:val="24"/>
          <w:szCs w:val="24"/>
        </w:rPr>
        <w:t xml:space="preserve">Strengthen independent Cuban civil society on-island through improved collaboration with the recently exiled community of human right defenders, including artists, journalists and activists. </w:t>
      </w:r>
    </w:p>
    <w:p w14:paraId="2341C42D" w14:textId="77777777" w:rsidR="004607A8" w:rsidRPr="004607A8" w:rsidRDefault="004607A8" w:rsidP="004607A8">
      <w:pPr>
        <w:spacing w:after="0" w:line="240" w:lineRule="auto"/>
        <w:contextualSpacing/>
        <w:rPr>
          <w:i/>
          <w:iCs/>
          <w:color w:val="000000" w:themeColor="text1"/>
          <w:sz w:val="24"/>
          <w:szCs w:val="24"/>
        </w:rPr>
      </w:pPr>
    </w:p>
    <w:p w14:paraId="2D0FC60B" w14:textId="77777777" w:rsidR="004607A8" w:rsidRPr="004607A8" w:rsidRDefault="004607A8" w:rsidP="004607A8">
      <w:pPr>
        <w:spacing w:after="0" w:line="240" w:lineRule="auto"/>
        <w:contextualSpacing/>
        <w:rPr>
          <w:color w:val="000000" w:themeColor="text1"/>
          <w:sz w:val="24"/>
          <w:szCs w:val="24"/>
        </w:rPr>
      </w:pPr>
      <w:r w:rsidRPr="004607A8">
        <w:rPr>
          <w:color w:val="000000" w:themeColor="text1"/>
          <w:sz w:val="24"/>
          <w:szCs w:val="24"/>
        </w:rPr>
        <w:t xml:space="preserve">To achieve this, DRL seeks proposals for a program to support recently exiled Cuban activists to navigate resettlement challenges and to continue work with their networks and counterparts in Cuba to rebuild and restore an active independent civil society on-island. </w:t>
      </w:r>
    </w:p>
    <w:p w14:paraId="512D69B7" w14:textId="77777777" w:rsidR="004607A8" w:rsidRPr="004607A8" w:rsidRDefault="004607A8" w:rsidP="004607A8">
      <w:pPr>
        <w:spacing w:after="0" w:line="240" w:lineRule="auto"/>
        <w:contextualSpacing/>
        <w:rPr>
          <w:color w:val="000000" w:themeColor="text1"/>
          <w:sz w:val="24"/>
          <w:szCs w:val="24"/>
        </w:rPr>
      </w:pPr>
    </w:p>
    <w:p w14:paraId="563D6387" w14:textId="77777777" w:rsidR="004607A8" w:rsidRPr="004607A8" w:rsidRDefault="004607A8" w:rsidP="004607A8">
      <w:pPr>
        <w:spacing w:after="0" w:line="240" w:lineRule="auto"/>
        <w:contextualSpacing/>
        <w:rPr>
          <w:color w:val="000000" w:themeColor="text1"/>
          <w:sz w:val="24"/>
          <w:szCs w:val="24"/>
        </w:rPr>
      </w:pPr>
      <w:r w:rsidRPr="004607A8">
        <w:rPr>
          <w:color w:val="000000" w:themeColor="text1"/>
          <w:sz w:val="24"/>
          <w:szCs w:val="24"/>
        </w:rPr>
        <w:t xml:space="preserve">Lines of effort under this program will include: </w:t>
      </w:r>
    </w:p>
    <w:p w14:paraId="0C2007EA" w14:textId="77777777" w:rsidR="004607A8" w:rsidRPr="004607A8" w:rsidRDefault="004607A8" w:rsidP="004607A8">
      <w:pPr>
        <w:pStyle w:val="ListParagraph"/>
        <w:numPr>
          <w:ilvl w:val="0"/>
          <w:numId w:val="35"/>
        </w:numPr>
        <w:spacing w:after="0" w:line="240" w:lineRule="auto"/>
        <w:rPr>
          <w:color w:val="000000" w:themeColor="text1"/>
          <w:sz w:val="24"/>
          <w:szCs w:val="24"/>
        </w:rPr>
      </w:pPr>
      <w:r w:rsidRPr="004607A8">
        <w:rPr>
          <w:b/>
          <w:bCs/>
          <w:color w:val="000000" w:themeColor="text1"/>
          <w:sz w:val="24"/>
          <w:szCs w:val="24"/>
        </w:rPr>
        <w:t xml:space="preserve">Administration of a small grants mechanism: </w:t>
      </w:r>
      <w:r w:rsidRPr="004607A8">
        <w:rPr>
          <w:color w:val="000000" w:themeColor="text1"/>
          <w:sz w:val="24"/>
          <w:szCs w:val="24"/>
        </w:rPr>
        <w:t xml:space="preserve">Competitive applicants will outline an efficient grant-making process to support short-term, targeted initiatives to strengthen coordinated efforts between activists on and off island. Small grants should support on-island led initiatives but may also include timely international advocacy initiatives aligned with on-island partner efforts. The small grant mechanism must include an advisory board or other form of consultation with Cuban activists to foster collaboration, democratic decision-making and to inform funding decisions.  Implementing this component may include, but is not limited, to the following activities: </w:t>
      </w:r>
    </w:p>
    <w:p w14:paraId="43DC55A1" w14:textId="77777777" w:rsidR="004607A8" w:rsidRPr="004607A8" w:rsidRDefault="004607A8" w:rsidP="004607A8">
      <w:pPr>
        <w:pStyle w:val="ListParagraph"/>
        <w:numPr>
          <w:ilvl w:val="0"/>
          <w:numId w:val="34"/>
        </w:numPr>
        <w:spacing w:after="0" w:line="240" w:lineRule="auto"/>
        <w:rPr>
          <w:color w:val="000000" w:themeColor="text1"/>
          <w:sz w:val="24"/>
          <w:szCs w:val="24"/>
        </w:rPr>
      </w:pPr>
      <w:r w:rsidRPr="004607A8">
        <w:rPr>
          <w:color w:val="000000" w:themeColor="text1"/>
          <w:sz w:val="24"/>
          <w:szCs w:val="24"/>
        </w:rPr>
        <w:t xml:space="preserve">Conducting an outreach process to ensure broad reach and awareness of the small grant mechanism. </w:t>
      </w:r>
    </w:p>
    <w:p w14:paraId="76CDCF1C" w14:textId="77777777" w:rsidR="004607A8" w:rsidRPr="004607A8" w:rsidRDefault="004607A8" w:rsidP="004607A8">
      <w:pPr>
        <w:pStyle w:val="ListParagraph"/>
        <w:numPr>
          <w:ilvl w:val="0"/>
          <w:numId w:val="34"/>
        </w:numPr>
        <w:spacing w:after="0" w:line="240" w:lineRule="auto"/>
        <w:rPr>
          <w:color w:val="000000" w:themeColor="text1"/>
          <w:sz w:val="24"/>
          <w:szCs w:val="24"/>
        </w:rPr>
      </w:pPr>
      <w:r w:rsidRPr="004607A8">
        <w:rPr>
          <w:color w:val="000000" w:themeColor="text1"/>
          <w:sz w:val="24"/>
          <w:szCs w:val="24"/>
        </w:rPr>
        <w:t xml:space="preserve">Organizing the application and grant-making process for short-term, targeted projects. </w:t>
      </w:r>
    </w:p>
    <w:p w14:paraId="508F6C44" w14:textId="77777777" w:rsidR="004607A8" w:rsidRPr="004607A8" w:rsidRDefault="004607A8" w:rsidP="004607A8">
      <w:pPr>
        <w:pStyle w:val="ListParagraph"/>
        <w:numPr>
          <w:ilvl w:val="0"/>
          <w:numId w:val="34"/>
        </w:numPr>
        <w:spacing w:after="0" w:line="240" w:lineRule="auto"/>
        <w:rPr>
          <w:color w:val="000000" w:themeColor="text1"/>
          <w:sz w:val="24"/>
          <w:szCs w:val="24"/>
        </w:rPr>
      </w:pPr>
      <w:r w:rsidRPr="004607A8">
        <w:rPr>
          <w:color w:val="000000" w:themeColor="text1"/>
          <w:sz w:val="24"/>
          <w:szCs w:val="24"/>
        </w:rPr>
        <w:t xml:space="preserve">Determining criteria by which to evaluate the competitiveness of applications. </w:t>
      </w:r>
    </w:p>
    <w:p w14:paraId="293959BA" w14:textId="77777777" w:rsidR="004607A8" w:rsidRPr="004607A8" w:rsidRDefault="004607A8" w:rsidP="004607A8">
      <w:pPr>
        <w:pStyle w:val="ListParagraph"/>
        <w:numPr>
          <w:ilvl w:val="0"/>
          <w:numId w:val="34"/>
        </w:numPr>
        <w:spacing w:after="0" w:line="240" w:lineRule="auto"/>
        <w:rPr>
          <w:color w:val="000000" w:themeColor="text1"/>
          <w:sz w:val="24"/>
          <w:szCs w:val="24"/>
        </w:rPr>
      </w:pPr>
      <w:r w:rsidRPr="004607A8">
        <w:rPr>
          <w:color w:val="000000" w:themeColor="text1"/>
          <w:sz w:val="24"/>
          <w:szCs w:val="24"/>
        </w:rPr>
        <w:t>Administering a selection process (to include input from Cuban activists and final approval from DRL).</w:t>
      </w:r>
    </w:p>
    <w:p w14:paraId="1833F310" w14:textId="77777777" w:rsidR="004607A8" w:rsidRPr="004607A8" w:rsidRDefault="004607A8" w:rsidP="004607A8">
      <w:pPr>
        <w:pStyle w:val="ListParagraph"/>
        <w:numPr>
          <w:ilvl w:val="0"/>
          <w:numId w:val="34"/>
        </w:numPr>
        <w:spacing w:after="0" w:line="240" w:lineRule="auto"/>
        <w:rPr>
          <w:color w:val="000000" w:themeColor="text1"/>
          <w:sz w:val="24"/>
          <w:szCs w:val="24"/>
        </w:rPr>
      </w:pPr>
      <w:r w:rsidRPr="004607A8">
        <w:rPr>
          <w:color w:val="000000" w:themeColor="text1"/>
          <w:sz w:val="24"/>
          <w:szCs w:val="24"/>
        </w:rPr>
        <w:t xml:space="preserve">Issuing and conducting oversight of small grants to off-island groups or individuals </w:t>
      </w:r>
    </w:p>
    <w:p w14:paraId="1C007306" w14:textId="77777777" w:rsidR="004607A8" w:rsidRPr="004607A8" w:rsidRDefault="004607A8" w:rsidP="004607A8">
      <w:pPr>
        <w:spacing w:after="0" w:line="240" w:lineRule="auto"/>
        <w:ind w:left="720"/>
        <w:contextualSpacing/>
        <w:rPr>
          <w:color w:val="000000" w:themeColor="text1"/>
          <w:sz w:val="24"/>
          <w:szCs w:val="24"/>
        </w:rPr>
      </w:pPr>
      <w:r w:rsidRPr="004607A8">
        <w:rPr>
          <w:color w:val="000000" w:themeColor="text1"/>
          <w:sz w:val="24"/>
          <w:szCs w:val="24"/>
        </w:rPr>
        <w:t>The small grant mechanism should operate in a flexible and responsive manner, while still ensuring compliance with U.S. government regulations. Competitive proposals will demonstrate the applicants’ experience and institutional capacity to manage large portfolios of small grants, each requiring close oversight to ensure compliance and effectiveness. DRL will also assume substantial involvement in the design of the application process, selection of small grant recipients, and monitoring and evaluation of the small grants mechanism.</w:t>
      </w:r>
    </w:p>
    <w:p w14:paraId="58496839" w14:textId="77777777" w:rsidR="004607A8" w:rsidRPr="004607A8" w:rsidRDefault="004607A8" w:rsidP="004607A8">
      <w:pPr>
        <w:spacing w:after="0" w:line="240" w:lineRule="auto"/>
        <w:contextualSpacing/>
        <w:rPr>
          <w:color w:val="000000" w:themeColor="text1"/>
          <w:sz w:val="24"/>
          <w:szCs w:val="24"/>
        </w:rPr>
      </w:pPr>
    </w:p>
    <w:p w14:paraId="133031A5" w14:textId="77777777" w:rsidR="004607A8" w:rsidRPr="004607A8" w:rsidRDefault="004607A8" w:rsidP="004607A8">
      <w:pPr>
        <w:pStyle w:val="ListParagraph"/>
        <w:numPr>
          <w:ilvl w:val="0"/>
          <w:numId w:val="35"/>
        </w:numPr>
        <w:spacing w:after="0" w:line="240" w:lineRule="auto"/>
        <w:rPr>
          <w:color w:val="000000" w:themeColor="text1"/>
          <w:sz w:val="24"/>
          <w:szCs w:val="24"/>
        </w:rPr>
      </w:pPr>
      <w:r w:rsidRPr="004607A8">
        <w:rPr>
          <w:b/>
          <w:bCs/>
          <w:color w:val="000000" w:themeColor="text1"/>
          <w:sz w:val="24"/>
          <w:szCs w:val="24"/>
        </w:rPr>
        <w:t>Legal assistance and capacity-building for recently exiled human rights defenders:</w:t>
      </w:r>
      <w:r w:rsidRPr="004607A8">
        <w:rPr>
          <w:color w:val="000000" w:themeColor="text1"/>
          <w:sz w:val="24"/>
          <w:szCs w:val="24"/>
        </w:rPr>
        <w:t xml:space="preserve"> This component will support individuals and organizations recently exiled in their efforts to </w:t>
      </w:r>
      <w:r w:rsidRPr="004607A8">
        <w:rPr>
          <w:color w:val="000000" w:themeColor="text1"/>
          <w:sz w:val="24"/>
          <w:szCs w:val="24"/>
        </w:rPr>
        <w:lastRenderedPageBreak/>
        <w:t xml:space="preserve">resettle and to resume democratic activism and advocacy for human rights in Cuba. Implementing this component may include, but is not limited to the following activities: </w:t>
      </w:r>
    </w:p>
    <w:p w14:paraId="3AED3FBD" w14:textId="77777777" w:rsidR="004607A8" w:rsidRPr="004607A8" w:rsidRDefault="004607A8" w:rsidP="004607A8">
      <w:pPr>
        <w:pStyle w:val="ListParagraph"/>
        <w:numPr>
          <w:ilvl w:val="0"/>
          <w:numId w:val="33"/>
        </w:numPr>
        <w:spacing w:after="0" w:line="240" w:lineRule="auto"/>
        <w:rPr>
          <w:color w:val="000000" w:themeColor="text1"/>
          <w:sz w:val="24"/>
          <w:szCs w:val="24"/>
        </w:rPr>
      </w:pPr>
      <w:r w:rsidRPr="004607A8">
        <w:rPr>
          <w:color w:val="000000" w:themeColor="text1"/>
          <w:sz w:val="24"/>
          <w:szCs w:val="24"/>
        </w:rPr>
        <w:t>Providing legal assistance to Cuban human rights defenders recently exiled to  establish themselves in diaspora communities and expedite their resumption of democratic activism and advocacy for human rights in Cuba.</w:t>
      </w:r>
    </w:p>
    <w:p w14:paraId="3AB3035D" w14:textId="77777777" w:rsidR="004607A8" w:rsidRPr="004607A8" w:rsidRDefault="004607A8" w:rsidP="004607A8">
      <w:pPr>
        <w:pStyle w:val="ListParagraph"/>
        <w:numPr>
          <w:ilvl w:val="0"/>
          <w:numId w:val="33"/>
        </w:numPr>
        <w:spacing w:after="0" w:line="240" w:lineRule="auto"/>
        <w:rPr>
          <w:color w:val="000000" w:themeColor="text1"/>
          <w:sz w:val="24"/>
          <w:szCs w:val="24"/>
        </w:rPr>
      </w:pPr>
      <w:r w:rsidRPr="004607A8">
        <w:rPr>
          <w:color w:val="000000" w:themeColor="text1"/>
          <w:sz w:val="24"/>
          <w:szCs w:val="24"/>
        </w:rPr>
        <w:t>Providing technical assistance to support organizing efforts among recently exiled human rights defenders and the professionalization of their work.</w:t>
      </w:r>
    </w:p>
    <w:p w14:paraId="0094C820" w14:textId="77777777" w:rsidR="004607A8" w:rsidRPr="004607A8" w:rsidRDefault="004607A8" w:rsidP="004607A8">
      <w:pPr>
        <w:pStyle w:val="ListParagraph"/>
        <w:numPr>
          <w:ilvl w:val="0"/>
          <w:numId w:val="33"/>
        </w:numPr>
        <w:spacing w:after="0" w:line="240" w:lineRule="auto"/>
        <w:rPr>
          <w:color w:val="000000" w:themeColor="text1"/>
          <w:sz w:val="24"/>
          <w:szCs w:val="24"/>
        </w:rPr>
      </w:pPr>
      <w:r w:rsidRPr="004607A8">
        <w:rPr>
          <w:color w:val="000000" w:themeColor="text1"/>
          <w:sz w:val="24"/>
          <w:szCs w:val="24"/>
        </w:rPr>
        <w:t>When applicable, improving human, technical and financial capital necessary for long-term organizational strengthening, including financial and grants management support, accurate and timely progress reporting, and monitoring and evaluation; and</w:t>
      </w:r>
    </w:p>
    <w:p w14:paraId="66CE3616" w14:textId="77777777" w:rsidR="004607A8" w:rsidRPr="004607A8" w:rsidRDefault="004607A8" w:rsidP="004607A8">
      <w:pPr>
        <w:pStyle w:val="ListParagraph"/>
        <w:numPr>
          <w:ilvl w:val="0"/>
          <w:numId w:val="33"/>
        </w:numPr>
        <w:spacing w:after="0" w:line="240" w:lineRule="auto"/>
        <w:rPr>
          <w:color w:val="000000" w:themeColor="text1"/>
          <w:sz w:val="24"/>
          <w:szCs w:val="24"/>
        </w:rPr>
      </w:pPr>
      <w:r w:rsidRPr="004607A8">
        <w:rPr>
          <w:color w:val="000000" w:themeColor="text1"/>
          <w:sz w:val="24"/>
          <w:szCs w:val="24"/>
        </w:rPr>
        <w:t xml:space="preserve">Providing ongoing assistance and mentorship to small grantees in the implementation of their projects. </w:t>
      </w:r>
    </w:p>
    <w:p w14:paraId="0FFDC842" w14:textId="77777777" w:rsidR="004607A8" w:rsidRPr="004607A8" w:rsidRDefault="004607A8" w:rsidP="004607A8">
      <w:pPr>
        <w:spacing w:after="0" w:line="240" w:lineRule="auto"/>
        <w:contextualSpacing/>
        <w:rPr>
          <w:color w:val="000000" w:themeColor="text1"/>
          <w:sz w:val="24"/>
          <w:szCs w:val="24"/>
        </w:rPr>
      </w:pPr>
    </w:p>
    <w:p w14:paraId="1842FD0A" w14:textId="52C6FDB9" w:rsidR="00290D8C" w:rsidRDefault="004607A8" w:rsidP="004607A8">
      <w:pPr>
        <w:spacing w:after="0" w:line="240" w:lineRule="auto"/>
        <w:contextualSpacing/>
        <w:rPr>
          <w:color w:val="000000" w:themeColor="text1"/>
          <w:sz w:val="24"/>
          <w:szCs w:val="24"/>
        </w:rPr>
      </w:pPr>
      <w:r w:rsidRPr="004607A8">
        <w:rPr>
          <w:color w:val="000000" w:themeColor="text1"/>
          <w:sz w:val="24"/>
          <w:szCs w:val="24"/>
        </w:rPr>
        <w:t xml:space="preserve">The support to off-island human rights defenders and groups must align with their efforts to continue work with their networks and counterparts in Cuba to rebuild and restore an active independent civil society on-island. Pending successful implementation and availability of funding, this program may be cost extended in future procurement cycles. </w:t>
      </w:r>
    </w:p>
    <w:p w14:paraId="37008ACF" w14:textId="77777777" w:rsidR="004607A8" w:rsidRPr="004607A8" w:rsidRDefault="004607A8" w:rsidP="004607A8">
      <w:pPr>
        <w:spacing w:after="0" w:line="240" w:lineRule="auto"/>
        <w:contextualSpacing/>
        <w:rPr>
          <w:rFonts w:asciiTheme="minorHAnsi" w:hAnsiTheme="minorHAnsi" w:cstheme="minorHAnsi"/>
          <w:color w:val="auto"/>
          <w:sz w:val="24"/>
          <w:szCs w:val="24"/>
        </w:rPr>
      </w:pPr>
    </w:p>
    <w:p w14:paraId="38FB184E" w14:textId="380B0201" w:rsidR="3F31F203" w:rsidRPr="004607A8" w:rsidRDefault="3F31F203" w:rsidP="004607A8">
      <w:pPr>
        <w:spacing w:after="0" w:line="240" w:lineRule="auto"/>
        <w:contextualSpacing/>
        <w:rPr>
          <w:rFonts w:asciiTheme="minorHAnsi" w:hAnsiTheme="minorHAnsi" w:cstheme="minorHAnsi"/>
          <w:color w:val="auto"/>
          <w:sz w:val="24"/>
          <w:szCs w:val="24"/>
        </w:rPr>
      </w:pPr>
      <w:r w:rsidRPr="004607A8">
        <w:rPr>
          <w:rFonts w:asciiTheme="minorHAnsi" w:hAnsiTheme="minorHAnsi" w:cstheme="minorHAnsi"/>
          <w:color w:val="auto"/>
          <w:sz w:val="24"/>
          <w:szCs w:val="24"/>
        </w:rPr>
        <w:t xml:space="preserve">All </w:t>
      </w:r>
      <w:r w:rsidR="35173614" w:rsidRPr="004607A8">
        <w:rPr>
          <w:rFonts w:asciiTheme="minorHAnsi" w:hAnsiTheme="minorHAnsi" w:cstheme="minorHAnsi"/>
          <w:color w:val="auto"/>
          <w:sz w:val="24"/>
          <w:szCs w:val="24"/>
        </w:rPr>
        <w:t>programs</w:t>
      </w:r>
      <w:r w:rsidR="546511F6" w:rsidRPr="004607A8">
        <w:rPr>
          <w:rFonts w:asciiTheme="minorHAnsi" w:hAnsiTheme="minorHAnsi" w:cstheme="minorHAnsi"/>
          <w:color w:val="auto"/>
          <w:sz w:val="24"/>
          <w:szCs w:val="24"/>
        </w:rPr>
        <w:t xml:space="preserve"> should aim to have </w:t>
      </w:r>
      <w:r w:rsidR="546511F6" w:rsidRPr="004607A8">
        <w:rPr>
          <w:rFonts w:asciiTheme="minorHAnsi" w:eastAsia="Times New Roman" w:hAnsiTheme="minorHAnsi" w:cstheme="minorHAnsi"/>
          <w:b/>
          <w:sz w:val="24"/>
          <w:szCs w:val="24"/>
        </w:rPr>
        <w:t>impact that leads to reforms</w:t>
      </w:r>
      <w:r w:rsidR="546511F6" w:rsidRPr="004607A8">
        <w:rPr>
          <w:rFonts w:asciiTheme="minorHAnsi" w:hAnsiTheme="minorHAnsi" w:cstheme="minorHAnsi"/>
          <w:color w:val="auto"/>
          <w:sz w:val="24"/>
          <w:szCs w:val="24"/>
        </w:rPr>
        <w:t xml:space="preserve"> and have the </w:t>
      </w:r>
      <w:r w:rsidR="546511F6" w:rsidRPr="004607A8">
        <w:rPr>
          <w:rFonts w:asciiTheme="minorHAnsi" w:eastAsia="Times New Roman" w:hAnsiTheme="minorHAnsi" w:cstheme="minorHAnsi"/>
          <w:b/>
          <w:sz w:val="24"/>
          <w:szCs w:val="24"/>
        </w:rPr>
        <w:t>potential for sustainability</w:t>
      </w:r>
      <w:r w:rsidR="546511F6" w:rsidRPr="004607A8">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Opportunities for beneficiaries to apply their new knowledge and skills in practical efforts</w:t>
      </w:r>
      <w:r w:rsidR="00137D7C" w:rsidRPr="00AD1D9D">
        <w:rPr>
          <w:rFonts w:asciiTheme="minorHAnsi" w:hAnsiTheme="minorHAnsi" w:cstheme="minorHAnsi"/>
        </w:rPr>
        <w:t>;</w:t>
      </w:r>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lastRenderedPageBreak/>
        <w:t>Solicitation of feedback and suggestions from beneficiaries when developing activities in order to strengthen the sustainability of programs and participant ownership of project outcomes</w:t>
      </w:r>
      <w:r w:rsidR="35173614" w:rsidRPr="00AD1D9D">
        <w:rPr>
          <w:rFonts w:asciiTheme="minorHAnsi" w:hAnsiTheme="minorHAnsi" w:cstheme="minorHAnsi"/>
        </w:rPr>
        <w:t>;</w:t>
      </w:r>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necessary</w:t>
      </w:r>
      <w:r w:rsidR="35173614" w:rsidRPr="00AD1D9D">
        <w:rPr>
          <w:rFonts w:asciiTheme="minorHAnsi" w:hAnsiTheme="minorHAnsi" w:cstheme="minorHAnsi"/>
        </w:rPr>
        <w:t>;</w:t>
      </w:r>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Inclusion of vulnerable populations</w:t>
      </w:r>
      <w:r w:rsidR="00137D7C" w:rsidRPr="00AD1D9D">
        <w:rPr>
          <w:rFonts w:asciiTheme="minorHAnsi" w:hAnsiTheme="minorHAnsi" w:cstheme="minorHAnsi"/>
        </w:rPr>
        <w:t>;</w:t>
      </w:r>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Joint identification and definition of key concepts with relevant stakeholders and stakeholder input into project activities</w:t>
      </w:r>
      <w:r w:rsidR="35173614" w:rsidRPr="00AD1D9D">
        <w:rPr>
          <w:rFonts w:asciiTheme="minorHAnsi" w:hAnsiTheme="minorHAnsi" w:cstheme="minorHAnsi"/>
        </w:rPr>
        <w:t>;</w:t>
      </w:r>
    </w:p>
    <w:p w14:paraId="6C24008C" w14:textId="2B75B9B9"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 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provision of humanitarian assistance;</w:t>
      </w:r>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English language instruction;</w:t>
      </w:r>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hardware;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fellowships;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months;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r w:rsidR="009662F2" w:rsidRPr="00AD1D9D">
        <w:rPr>
          <w:rFonts w:asciiTheme="minorHAnsi" w:eastAsia="Times New Roman" w:hAnsiTheme="minorHAnsi" w:cstheme="minorHAnsi"/>
          <w:sz w:val="24"/>
          <w:szCs w:val="24"/>
        </w:rPr>
        <w:t>concerns;</w:t>
      </w:r>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Micro-loans or similar small business development initiatives;</w:t>
      </w:r>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712885C4"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B42B3A">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NOFO.</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enter into discussions with </w:t>
      </w:r>
      <w:r w:rsidRPr="00AD1D9D">
        <w:rPr>
          <w:rFonts w:asciiTheme="minorHAnsi" w:eastAsia="Times New Roman" w:hAnsiTheme="minorHAnsi" w:cstheme="minorHAnsi"/>
          <w:sz w:val="24"/>
          <w:szCs w:val="24"/>
        </w:rPr>
        <w:lastRenderedPageBreak/>
        <w:t>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Active participation or collaboration with the recipient in the implementation of the award</w:t>
      </w:r>
      <w:r w:rsidR="009C4539" w:rsidRPr="00AD1D9D">
        <w:rPr>
          <w:rFonts w:asciiTheme="minorHAnsi" w:eastAsia="Times New Roman" w:hAnsiTheme="minorHAnsi" w:cstheme="minorHAnsi"/>
          <w:sz w:val="24"/>
          <w:szCs w:val="24"/>
        </w:rPr>
        <w:t>;</w:t>
      </w:r>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approval of one stage of work before another can begin</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policy</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is not eligible to apply for an assistance award in accordance with the OMB guidelines at 2 CFR 180 that </w:t>
      </w:r>
      <w:r w:rsidRPr="00AD1D9D">
        <w:rPr>
          <w:rFonts w:asciiTheme="minorHAnsi" w:eastAsia="Times New Roman" w:hAnsiTheme="minorHAnsi" w:cstheme="minorHAnsi"/>
          <w:sz w:val="24"/>
          <w:szCs w:val="24"/>
        </w:rPr>
        <w:lastRenderedPageBreak/>
        <w:t>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30F76E28"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B42B3A" w:rsidRPr="00B42B3A">
        <w:rPr>
          <w:rFonts w:asciiTheme="minorHAnsi" w:eastAsia="Times New Roman" w:hAnsiTheme="minorHAnsi" w:cstheme="minorHAnsi"/>
          <w:b/>
          <w:bCs/>
          <w:sz w:val="24"/>
          <w:szCs w:val="24"/>
        </w:rPr>
        <w:t>DRL Support for Recently Exiled Cuban Human Rights Defenders</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B42B3A" w:rsidRPr="00B42B3A">
        <w:rPr>
          <w:rFonts w:asciiTheme="minorHAnsi" w:eastAsia="Times New Roman" w:hAnsiTheme="minorHAnsi" w:cstheme="minorHAnsi"/>
          <w:b/>
          <w:bCs/>
          <w:sz w:val="24"/>
          <w:szCs w:val="24"/>
        </w:rPr>
        <w:t>SFOP0009705</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English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pages are numbered, including budgets and attachments;</w:t>
      </w:r>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w:t>
      </w:r>
      <w:r w:rsidR="00CF1A66" w:rsidRPr="00AD1D9D">
        <w:rPr>
          <w:rFonts w:asciiTheme="minorHAnsi" w:eastAsia="Times New Roman" w:hAnsiTheme="minorHAnsi" w:cstheme="minorHAnsi"/>
          <w:sz w:val="24"/>
          <w:szCs w:val="24"/>
        </w:rPr>
        <w:lastRenderedPageBreak/>
        <w:t>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(i.e.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0"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0"/>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1B4922F8" w14:textId="039958BA" w:rsidR="00384747" w:rsidRPr="00B42B3A" w:rsidRDefault="00CF1A66" w:rsidP="00B42B3A">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r w:rsidR="0855E965" w:rsidRPr="00B42B3A">
        <w:rPr>
          <w:rFonts w:asciiTheme="minorHAnsi" w:eastAsia="Times New Roman" w:hAnsiTheme="minorHAnsi" w:cstheme="minorHAnsi"/>
          <w:sz w:val="24"/>
          <w:szCs w:val="24"/>
        </w:rPr>
        <w:t xml:space="preserve">Please see </w:t>
      </w:r>
      <w:r w:rsidR="0855E965" w:rsidRPr="00B42B3A">
        <w:rPr>
          <w:rFonts w:asciiTheme="minorHAnsi" w:eastAsia="Times New Roman" w:hAnsiTheme="minorHAnsi" w:cstheme="minorHAnsi"/>
          <w:i/>
          <w:iCs/>
          <w:sz w:val="24"/>
          <w:szCs w:val="24"/>
        </w:rPr>
        <w:t>Budget Guidelines</w:t>
      </w:r>
      <w:r w:rsidR="0855E965" w:rsidRPr="00B42B3A">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AD1D9D"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1"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1"/>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w:t>
      </w:r>
      <w:r w:rsidRPr="00AD1D9D">
        <w:rPr>
          <w:rFonts w:asciiTheme="minorHAnsi" w:eastAsia="Times New Roman" w:hAnsiTheme="minorHAnsi" w:cstheme="minorHAnsi"/>
          <w:color w:val="252525"/>
          <w:sz w:val="24"/>
          <w:szCs w:val="24"/>
        </w:rPr>
        <w:lastRenderedPageBreak/>
        <w:t xml:space="preserve">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2" w:name="_Hlk87981167"/>
      <w:r w:rsidR="1648A614" w:rsidRPr="00AD1D9D">
        <w:rPr>
          <w:rFonts w:asciiTheme="minorHAnsi" w:eastAsia="Times New Roman" w:hAnsiTheme="minorHAnsi" w:cstheme="minorHAnsi"/>
          <w:sz w:val="24"/>
          <w:szCs w:val="24"/>
        </w:rPr>
        <w:t xml:space="preserve">and inclusion </w:t>
      </w:r>
      <w:bookmarkEnd w:id="2"/>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L of the PSI.</w:t>
      </w:r>
    </w:p>
    <w:p w14:paraId="7B5E326E" w14:textId="77777777" w:rsidR="006448FC" w:rsidRPr="00AD1D9D"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B67AE7" w:rsidRDefault="45651D5A" w:rsidP="00141D59">
      <w:pPr>
        <w:pStyle w:val="NoSpacing"/>
        <w:numPr>
          <w:ilvl w:val="0"/>
          <w:numId w:val="17"/>
        </w:numPr>
        <w:rPr>
          <w:rFonts w:asciiTheme="minorHAnsi" w:eastAsia="Times New Roman" w:hAnsiTheme="minorHAnsi" w:cstheme="minorHAnsi"/>
          <w:color w:val="252525"/>
          <w:sz w:val="24"/>
          <w:szCs w:val="24"/>
        </w:rPr>
      </w:pPr>
      <w:r w:rsidRPr="00B67AE7">
        <w:rPr>
          <w:rFonts w:asciiTheme="minorHAnsi" w:eastAsia="Times New Roman" w:hAnsiTheme="minorHAnsi" w:cstheme="minorHAnsi"/>
          <w:b/>
          <w:bCs/>
          <w:sz w:val="24"/>
          <w:szCs w:val="24"/>
        </w:rPr>
        <w:t>Security Plan</w:t>
      </w:r>
      <w:r w:rsidR="2D01E641" w:rsidRPr="00B67AE7">
        <w:rPr>
          <w:rFonts w:asciiTheme="minorHAnsi" w:eastAsia="Times New Roman" w:hAnsiTheme="minorHAnsi" w:cstheme="minorHAnsi"/>
          <w:b/>
          <w:bCs/>
          <w:sz w:val="24"/>
          <w:szCs w:val="24"/>
        </w:rPr>
        <w:t xml:space="preserve"> </w:t>
      </w:r>
      <w:r w:rsidR="147B753D" w:rsidRPr="00B67AE7">
        <w:rPr>
          <w:rFonts w:asciiTheme="minorHAnsi" w:eastAsia="Times New Roman" w:hAnsiTheme="minorHAnsi" w:cstheme="minorHAnsi"/>
          <w:sz w:val="24"/>
          <w:szCs w:val="24"/>
        </w:rPr>
        <w:t xml:space="preserve">addressing any issues involving in-person events and recruitment for said events, </w:t>
      </w:r>
      <w:r w:rsidR="1073C3BD" w:rsidRPr="00B67AE7">
        <w:rPr>
          <w:rFonts w:asciiTheme="minorHAnsi" w:eastAsia="Times New Roman" w:hAnsiTheme="minorHAnsi" w:cstheme="minorHAnsi"/>
          <w:sz w:val="24"/>
          <w:szCs w:val="24"/>
        </w:rPr>
        <w:t xml:space="preserve">and </w:t>
      </w:r>
      <w:r w:rsidR="147B753D" w:rsidRPr="00B67AE7">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B67AE7">
        <w:rPr>
          <w:rFonts w:asciiTheme="minorHAnsi" w:eastAsia="Times New Roman" w:hAnsiTheme="minorHAnsi" w:cstheme="minorHAnsi"/>
          <w:color w:val="auto"/>
          <w:sz w:val="24"/>
          <w:szCs w:val="24"/>
        </w:rPr>
        <w:t xml:space="preserve">.  </w:t>
      </w:r>
      <w:r w:rsidR="6FB218B9" w:rsidRPr="00B67AE7">
        <w:rPr>
          <w:rFonts w:asciiTheme="minorHAnsi" w:eastAsia="Times New Roman" w:hAnsiTheme="minorHAnsi" w:cstheme="minorHAnsi"/>
          <w:color w:val="auto"/>
          <w:sz w:val="24"/>
          <w:szCs w:val="24"/>
        </w:rPr>
        <w:t>Organization’s</w:t>
      </w:r>
      <w:r w:rsidR="52F3EBEB" w:rsidRPr="00B67AE7">
        <w:rPr>
          <w:rFonts w:asciiTheme="minorHAnsi" w:eastAsia="Times New Roman" w:hAnsiTheme="minorHAnsi" w:cstheme="minorHAnsi"/>
          <w:color w:val="auto"/>
          <w:sz w:val="24"/>
          <w:szCs w:val="24"/>
        </w:rPr>
        <w:t xml:space="preserve"> </w:t>
      </w:r>
      <w:r w:rsidR="34D767E9" w:rsidRPr="00B67AE7">
        <w:rPr>
          <w:rFonts w:asciiTheme="minorHAnsi" w:eastAsia="Times New Roman" w:hAnsiTheme="minorHAnsi" w:cstheme="minorHAnsi"/>
          <w:color w:val="auto"/>
          <w:sz w:val="24"/>
          <w:szCs w:val="24"/>
        </w:rPr>
        <w:t>S</w:t>
      </w:r>
      <w:r w:rsidR="52F3EBEB" w:rsidRPr="00B67AE7">
        <w:rPr>
          <w:rFonts w:asciiTheme="minorHAnsi" w:eastAsia="Times New Roman" w:hAnsiTheme="minorHAnsi" w:cstheme="minorHAnsi"/>
          <w:color w:val="auto"/>
          <w:sz w:val="24"/>
          <w:szCs w:val="24"/>
        </w:rPr>
        <w:t xml:space="preserve">ecurity </w:t>
      </w:r>
      <w:r w:rsidR="34D767E9" w:rsidRPr="00B67AE7">
        <w:rPr>
          <w:rFonts w:asciiTheme="minorHAnsi" w:eastAsia="Times New Roman" w:hAnsiTheme="minorHAnsi" w:cstheme="minorHAnsi"/>
          <w:color w:val="auto"/>
          <w:sz w:val="24"/>
          <w:szCs w:val="24"/>
        </w:rPr>
        <w:t>P</w:t>
      </w:r>
      <w:r w:rsidR="52F3EBEB" w:rsidRPr="00B67AE7">
        <w:rPr>
          <w:rFonts w:asciiTheme="minorHAnsi" w:eastAsia="Times New Roman" w:hAnsiTheme="minorHAnsi" w:cstheme="minorHAnsi"/>
          <w:color w:val="auto"/>
          <w:sz w:val="24"/>
          <w:szCs w:val="24"/>
        </w:rPr>
        <w:t>lan should demonstrate consideration of the risks identified in the submitted risk assessment</w:t>
      </w:r>
      <w:r w:rsidR="6FB218B9" w:rsidRPr="00B67AE7">
        <w:rPr>
          <w:rFonts w:asciiTheme="minorHAnsi" w:eastAsia="Times New Roman" w:hAnsiTheme="minorHAnsi" w:cstheme="minorHAnsi"/>
          <w:color w:val="auto"/>
          <w:sz w:val="24"/>
          <w:szCs w:val="24"/>
        </w:rPr>
        <w:t xml:space="preserve">.  Costs may also be identified within the budget and budget </w:t>
      </w:r>
      <w:r w:rsidR="52F3EBEB" w:rsidRPr="00B67AE7">
        <w:rPr>
          <w:rFonts w:asciiTheme="minorHAnsi" w:eastAsia="Times New Roman" w:hAnsiTheme="minorHAnsi" w:cstheme="minorHAnsi"/>
          <w:color w:val="auto"/>
          <w:sz w:val="24"/>
          <w:szCs w:val="24"/>
        </w:rPr>
        <w:t>narrative</w:t>
      </w:r>
      <w:r w:rsidR="6FB218B9" w:rsidRPr="00B67AE7">
        <w:rPr>
          <w:rFonts w:asciiTheme="minorHAnsi" w:eastAsia="Times New Roman" w:hAnsiTheme="minorHAnsi" w:cstheme="minorHAnsi"/>
          <w:color w:val="auto"/>
          <w:sz w:val="24"/>
          <w:szCs w:val="24"/>
        </w:rPr>
        <w:t xml:space="preserve">.  </w:t>
      </w:r>
      <w:r w:rsidR="1073C3BD" w:rsidRPr="00B67AE7">
        <w:rPr>
          <w:rFonts w:asciiTheme="minorHAnsi" w:eastAsia="Times New Roman" w:hAnsiTheme="minorHAnsi" w:cstheme="minorHAnsi"/>
          <w:sz w:val="24"/>
          <w:szCs w:val="24"/>
        </w:rPr>
        <w:t>Applicants</w:t>
      </w:r>
      <w:r w:rsidR="147B753D" w:rsidRPr="00B67AE7">
        <w:rPr>
          <w:rFonts w:asciiTheme="minorHAnsi" w:eastAsia="Times New Roman" w:hAnsiTheme="minorHAnsi" w:cstheme="minorHAnsi"/>
          <w:sz w:val="24"/>
          <w:szCs w:val="24"/>
        </w:rPr>
        <w:t xml:space="preserve"> are </w:t>
      </w:r>
      <w:r w:rsidR="1073C3BD" w:rsidRPr="00B67AE7">
        <w:rPr>
          <w:rFonts w:asciiTheme="minorHAnsi" w:eastAsia="Times New Roman" w:hAnsiTheme="minorHAnsi" w:cstheme="minorHAnsi"/>
          <w:sz w:val="24"/>
          <w:szCs w:val="24"/>
        </w:rPr>
        <w:t xml:space="preserve">also </w:t>
      </w:r>
      <w:r w:rsidR="147B753D" w:rsidRPr="00B67AE7">
        <w:rPr>
          <w:rFonts w:asciiTheme="minorHAnsi" w:eastAsia="Times New Roman" w:hAnsiTheme="minorHAnsi" w:cstheme="minorHAnsi"/>
          <w:sz w:val="24"/>
          <w:szCs w:val="24"/>
        </w:rPr>
        <w:t>encouraged to include contingency plans for in-person or online activities.</w:t>
      </w:r>
    </w:p>
    <w:p w14:paraId="0C9479A0" w14:textId="77777777" w:rsidR="006448FC" w:rsidRPr="00B67AE7"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B67AE7"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B67AE7">
        <w:rPr>
          <w:rFonts w:asciiTheme="minorHAnsi" w:hAnsiTheme="minorHAnsi" w:cstheme="minorHAnsi"/>
          <w:b/>
          <w:bCs/>
          <w:sz w:val="24"/>
          <w:szCs w:val="24"/>
        </w:rPr>
        <w:t>Contingency Plan</w:t>
      </w:r>
      <w:r w:rsidRPr="00B67AE7">
        <w:rPr>
          <w:rFonts w:asciiTheme="minorHAnsi" w:eastAsia="Times New Roman" w:hAnsiTheme="minorHAnsi" w:cstheme="minorHAnsi"/>
          <w:sz w:val="24"/>
          <w:szCs w:val="24"/>
        </w:rPr>
        <w:t xml:space="preserve"> </w:t>
      </w:r>
      <w:r w:rsidR="1073C3BD" w:rsidRPr="00B67AE7">
        <w:rPr>
          <w:rFonts w:asciiTheme="minorHAnsi" w:eastAsia="Times New Roman" w:hAnsiTheme="minorHAnsi" w:cstheme="minorHAnsi"/>
          <w:sz w:val="24"/>
          <w:szCs w:val="24"/>
        </w:rPr>
        <w:t>f</w:t>
      </w:r>
      <w:r w:rsidRPr="00B67AE7">
        <w:rPr>
          <w:rFonts w:asciiTheme="minorHAnsi" w:hAnsiTheme="minorHAnsi" w:cstheme="minorHAnsi"/>
          <w:sz w:val="24"/>
          <w:szCs w:val="24"/>
        </w:rPr>
        <w:t xml:space="preserve">or proposed activities should the originally planned activities not be able to be implemented. </w:t>
      </w:r>
      <w:r w:rsidR="1073C3BD" w:rsidRPr="00B67AE7">
        <w:rPr>
          <w:rFonts w:asciiTheme="minorHAnsi" w:hAnsiTheme="minorHAnsi" w:cstheme="minorHAnsi"/>
          <w:sz w:val="24"/>
          <w:szCs w:val="24"/>
        </w:rPr>
        <w:t xml:space="preserve"> </w:t>
      </w:r>
      <w:r w:rsidR="1073C3BD" w:rsidRPr="00B67AE7">
        <w:rPr>
          <w:rFonts w:asciiTheme="minorHAnsi" w:hAnsiTheme="minorHAnsi" w:cstheme="minorHAnsi"/>
          <w:color w:val="auto"/>
          <w:sz w:val="24"/>
          <w:szCs w:val="24"/>
        </w:rPr>
        <w:t xml:space="preserve">The </w:t>
      </w:r>
      <w:r w:rsidR="677EB13C" w:rsidRPr="00B67AE7">
        <w:rPr>
          <w:rFonts w:asciiTheme="minorHAnsi" w:hAnsiTheme="minorHAnsi" w:cstheme="minorHAnsi"/>
          <w:color w:val="auto"/>
          <w:sz w:val="24"/>
          <w:szCs w:val="24"/>
        </w:rPr>
        <w:t>C</w:t>
      </w:r>
      <w:r w:rsidR="1073C3BD" w:rsidRPr="00B67AE7">
        <w:rPr>
          <w:rFonts w:asciiTheme="minorHAnsi" w:hAnsiTheme="minorHAnsi" w:cstheme="minorHAnsi"/>
          <w:color w:val="auto"/>
          <w:sz w:val="24"/>
          <w:szCs w:val="24"/>
        </w:rPr>
        <w:t xml:space="preserve">ontingency </w:t>
      </w:r>
      <w:r w:rsidR="677EB13C" w:rsidRPr="00B67AE7">
        <w:rPr>
          <w:rFonts w:asciiTheme="minorHAnsi" w:hAnsiTheme="minorHAnsi" w:cstheme="minorHAnsi"/>
          <w:color w:val="auto"/>
          <w:sz w:val="24"/>
          <w:szCs w:val="24"/>
        </w:rPr>
        <w:t>P</w:t>
      </w:r>
      <w:r w:rsidR="1073C3BD" w:rsidRPr="00B67AE7">
        <w:rPr>
          <w:rFonts w:asciiTheme="minorHAnsi" w:hAnsiTheme="minorHAnsi" w:cstheme="minorHAnsi"/>
          <w:color w:val="auto"/>
          <w:sz w:val="24"/>
          <w:szCs w:val="24"/>
        </w:rPr>
        <w:t xml:space="preserve">lan should be submitted </w:t>
      </w:r>
      <w:r w:rsidRPr="00B67AE7">
        <w:rPr>
          <w:rFonts w:asciiTheme="minorHAnsi" w:hAnsiTheme="minorHAnsi" w:cstheme="minorHAnsi"/>
          <w:color w:val="auto"/>
          <w:sz w:val="24"/>
          <w:szCs w:val="24"/>
        </w:rPr>
        <w:t>as an additional annex.</w:t>
      </w:r>
      <w:r w:rsidR="493E62AA" w:rsidRPr="00B67AE7">
        <w:rPr>
          <w:rFonts w:asciiTheme="minorHAnsi" w:hAnsiTheme="minorHAnsi" w:cstheme="minorHAnsi"/>
          <w:color w:val="auto"/>
          <w:sz w:val="24"/>
          <w:szCs w:val="24"/>
        </w:rPr>
        <w:t xml:space="preserve"> </w:t>
      </w:r>
      <w:r w:rsidR="4E1EBFDD" w:rsidRPr="00B67AE7">
        <w:rPr>
          <w:rFonts w:asciiTheme="minorHAnsi" w:hAnsiTheme="minorHAnsi" w:cstheme="minorHAnsi"/>
          <w:color w:val="auto"/>
          <w:sz w:val="24"/>
          <w:szCs w:val="24"/>
        </w:rPr>
        <w:t xml:space="preserve"> </w:t>
      </w:r>
      <w:r w:rsidR="4E1EBFDD" w:rsidRPr="00B67AE7">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B67AE7">
        <w:rPr>
          <w:rFonts w:asciiTheme="minorHAnsi" w:eastAsia="Times New Roman" w:hAnsiTheme="minorHAnsi" w:cstheme="minorHAnsi"/>
          <w:color w:val="auto"/>
          <w:sz w:val="24"/>
          <w:szCs w:val="24"/>
        </w:rPr>
        <w:t>C</w:t>
      </w:r>
      <w:r w:rsidR="4E1EBFDD" w:rsidRPr="00B67AE7">
        <w:rPr>
          <w:rFonts w:asciiTheme="minorHAnsi" w:eastAsia="Times New Roman" w:hAnsiTheme="minorHAnsi" w:cstheme="minorHAnsi"/>
          <w:color w:val="auto"/>
          <w:sz w:val="24"/>
          <w:szCs w:val="24"/>
        </w:rPr>
        <w:t xml:space="preserve">ontingency </w:t>
      </w:r>
      <w:r w:rsidR="677EB13C" w:rsidRPr="00B67AE7">
        <w:rPr>
          <w:rFonts w:asciiTheme="minorHAnsi" w:eastAsia="Times New Roman" w:hAnsiTheme="minorHAnsi" w:cstheme="minorHAnsi"/>
          <w:color w:val="auto"/>
          <w:sz w:val="24"/>
          <w:szCs w:val="24"/>
        </w:rPr>
        <w:t>P</w:t>
      </w:r>
      <w:r w:rsidR="4E1EBFDD" w:rsidRPr="00B67AE7">
        <w:rPr>
          <w:rFonts w:asciiTheme="minorHAnsi" w:eastAsia="Times New Roman" w:hAnsiTheme="minorHAnsi" w:cstheme="minorHAnsi"/>
          <w:color w:val="auto"/>
          <w:sz w:val="24"/>
          <w:szCs w:val="24"/>
        </w:rPr>
        <w:t xml:space="preserve">lan.  </w:t>
      </w:r>
      <w:r w:rsidR="7537E465" w:rsidRPr="00B67AE7">
        <w:rPr>
          <w:rFonts w:asciiTheme="minorHAnsi" w:eastAsia="Times New Roman" w:hAnsiTheme="minorHAnsi" w:cstheme="minorHAnsi"/>
          <w:color w:val="auto"/>
          <w:sz w:val="24"/>
          <w:szCs w:val="24"/>
        </w:rPr>
        <w:t>Any proposed “plan” must comply with 2CFR200.433 – Contingency provisions.</w:t>
      </w:r>
      <w:r w:rsidR="2A7772C3" w:rsidRPr="00B67AE7">
        <w:rPr>
          <w:rFonts w:asciiTheme="minorHAnsi" w:eastAsia="Times New Roman" w:hAnsiTheme="minorHAnsi" w:cstheme="minorHAnsi"/>
          <w:color w:val="auto"/>
          <w:sz w:val="24"/>
          <w:szCs w:val="24"/>
        </w:rPr>
        <w:t xml:space="preserve"> </w:t>
      </w:r>
      <w:r w:rsidR="7537E465" w:rsidRPr="00B67AE7">
        <w:rPr>
          <w:rFonts w:asciiTheme="minorHAnsi" w:eastAsia="Times New Roman" w:hAnsiTheme="minorHAnsi" w:cstheme="minorHAnsi"/>
          <w:color w:val="auto"/>
          <w:sz w:val="24"/>
          <w:szCs w:val="24"/>
        </w:rPr>
        <w:t xml:space="preserve"> Plans must not include </w:t>
      </w:r>
      <w:proofErr w:type="spellStart"/>
      <w:r w:rsidR="7537E465" w:rsidRPr="00B67AE7">
        <w:rPr>
          <w:rFonts w:asciiTheme="minorHAnsi" w:eastAsia="Times New Roman" w:hAnsiTheme="minorHAnsi" w:cstheme="minorHAnsi"/>
          <w:color w:val="auto"/>
          <w:sz w:val="24"/>
          <w:szCs w:val="24"/>
        </w:rPr>
        <w:t>unallocable</w:t>
      </w:r>
      <w:proofErr w:type="spellEnd"/>
      <w:r w:rsidR="7537E465" w:rsidRPr="00B67AE7">
        <w:rPr>
          <w:rFonts w:asciiTheme="minorHAnsi" w:eastAsia="Times New Roman" w:hAnsiTheme="minorHAnsi" w:cstheme="minorHAnsi"/>
          <w:color w:val="auto"/>
          <w:sz w:val="24"/>
          <w:szCs w:val="24"/>
        </w:rPr>
        <w:t xml:space="preserve"> or unallowable </w:t>
      </w:r>
      <w:r w:rsidR="677EB13C" w:rsidRPr="00B67AE7">
        <w:rPr>
          <w:rFonts w:asciiTheme="minorHAnsi" w:eastAsia="Times New Roman" w:hAnsiTheme="minorHAnsi" w:cstheme="minorHAnsi"/>
          <w:color w:val="auto"/>
          <w:sz w:val="24"/>
          <w:szCs w:val="24"/>
        </w:rPr>
        <w:t>expenses and</w:t>
      </w:r>
      <w:r w:rsidR="7537E465" w:rsidRPr="00B67AE7">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B67AE7">
        <w:rPr>
          <w:rFonts w:asciiTheme="minorHAnsi" w:eastAsia="Times New Roman" w:hAnsiTheme="minorHAnsi" w:cstheme="minorHAnsi"/>
          <w:color w:val="auto"/>
          <w:sz w:val="24"/>
          <w:szCs w:val="24"/>
        </w:rPr>
        <w:t>.”</w:t>
      </w:r>
      <w:r w:rsidR="7537E465" w:rsidRPr="00B67AE7">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B67AE7">
        <w:rPr>
          <w:rFonts w:asciiTheme="minorHAnsi" w:eastAsia="Times New Roman" w:hAnsiTheme="minorHAnsi" w:cstheme="minorHAnsi"/>
          <w:color w:val="auto"/>
          <w:sz w:val="24"/>
          <w:szCs w:val="24"/>
        </w:rPr>
        <w:t>.”</w:t>
      </w:r>
    </w:p>
    <w:p w14:paraId="2D2F6994" w14:textId="77777777" w:rsidR="006448FC" w:rsidRPr="00B67AE7"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B67AE7"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B67AE7">
        <w:rPr>
          <w:rFonts w:asciiTheme="minorHAnsi" w:hAnsiTheme="minorHAnsi" w:cstheme="minorHAnsi"/>
          <w:b/>
          <w:bCs/>
          <w:sz w:val="24"/>
          <w:szCs w:val="24"/>
        </w:rPr>
        <w:t>Lessons L</w:t>
      </w:r>
      <w:r w:rsidR="147B753D" w:rsidRPr="00B67AE7">
        <w:rPr>
          <w:rFonts w:asciiTheme="minorHAnsi" w:hAnsiTheme="minorHAnsi" w:cstheme="minorHAnsi"/>
          <w:b/>
          <w:bCs/>
          <w:sz w:val="24"/>
          <w:szCs w:val="24"/>
        </w:rPr>
        <w:t>earned</w:t>
      </w:r>
      <w:r w:rsidRPr="00B67AE7">
        <w:rPr>
          <w:rFonts w:asciiTheme="minorHAnsi" w:hAnsiTheme="minorHAnsi" w:cstheme="minorHAnsi"/>
          <w:b/>
          <w:bCs/>
          <w:sz w:val="24"/>
          <w:szCs w:val="24"/>
        </w:rPr>
        <w:t xml:space="preserve"> </w:t>
      </w:r>
      <w:r w:rsidRPr="00B67AE7">
        <w:rPr>
          <w:rFonts w:asciiTheme="minorHAnsi" w:eastAsia="Times New Roman" w:hAnsiTheme="minorHAnsi" w:cstheme="minorHAnsi"/>
          <w:sz w:val="24"/>
          <w:szCs w:val="24"/>
        </w:rPr>
        <w:t xml:space="preserve">(not to exceed one </w:t>
      </w:r>
      <w:r w:rsidR="30B20F17" w:rsidRPr="00B67AE7">
        <w:rPr>
          <w:rFonts w:asciiTheme="minorHAnsi" w:eastAsia="Times New Roman" w:hAnsiTheme="minorHAnsi" w:cstheme="minorHAnsi"/>
          <w:sz w:val="24"/>
          <w:szCs w:val="24"/>
        </w:rPr>
        <w:t>(</w:t>
      </w:r>
      <w:r w:rsidRPr="00B67AE7">
        <w:rPr>
          <w:rFonts w:asciiTheme="minorHAnsi" w:eastAsia="Times New Roman" w:hAnsiTheme="minorHAnsi" w:cstheme="minorHAnsi"/>
          <w:sz w:val="24"/>
          <w:szCs w:val="24"/>
        </w:rPr>
        <w:t>1</w:t>
      </w:r>
      <w:r w:rsidR="30B20F17" w:rsidRPr="00B67AE7">
        <w:rPr>
          <w:rFonts w:asciiTheme="minorHAnsi" w:eastAsia="Times New Roman" w:hAnsiTheme="minorHAnsi" w:cstheme="minorHAnsi"/>
          <w:sz w:val="24"/>
          <w:szCs w:val="24"/>
        </w:rPr>
        <w:t>)</w:t>
      </w:r>
      <w:r w:rsidRPr="00B67AE7">
        <w:rPr>
          <w:rFonts w:asciiTheme="minorHAnsi" w:eastAsia="Times New Roman" w:hAnsiTheme="minorHAnsi" w:cstheme="minorHAnsi"/>
          <w:sz w:val="24"/>
          <w:szCs w:val="24"/>
        </w:rPr>
        <w:t xml:space="preserve"> page, preferably as a Word Document)</w:t>
      </w:r>
      <w:r w:rsidR="147B753D" w:rsidRPr="00B67AE7">
        <w:rPr>
          <w:rFonts w:asciiTheme="minorHAnsi" w:hAnsiTheme="minorHAnsi" w:cstheme="minorHAnsi"/>
          <w:sz w:val="24"/>
          <w:szCs w:val="24"/>
        </w:rPr>
        <w:t xml:space="preserve"> from past programs</w:t>
      </w:r>
      <w:r w:rsidR="286ECEAD" w:rsidRPr="00B67AE7">
        <w:rPr>
          <w:rFonts w:asciiTheme="minorHAnsi" w:hAnsiTheme="minorHAnsi" w:cstheme="minorHAnsi"/>
          <w:sz w:val="24"/>
          <w:szCs w:val="24"/>
        </w:rPr>
        <w:t xml:space="preserve"> (insert country or theme)</w:t>
      </w:r>
      <w:r w:rsidR="147B753D" w:rsidRPr="00B67AE7">
        <w:rPr>
          <w:rFonts w:asciiTheme="minorHAnsi" w:hAnsiTheme="minorHAnsi" w:cstheme="minorHAnsi"/>
          <w:sz w:val="24"/>
          <w:szCs w:val="24"/>
        </w:rPr>
        <w:t xml:space="preserve"> that demonstrate how the implementer has safely operated and responded to</w:t>
      </w:r>
      <w:r w:rsidR="79681004" w:rsidRPr="00B67AE7">
        <w:rPr>
          <w:rFonts w:asciiTheme="minorHAnsi" w:hAnsiTheme="minorHAnsi" w:cstheme="minorHAnsi"/>
          <w:sz w:val="24"/>
          <w:szCs w:val="24"/>
        </w:rPr>
        <w:t xml:space="preserve"> programmatic</w:t>
      </w:r>
      <w:r w:rsidR="147B753D" w:rsidRPr="00B67AE7">
        <w:rPr>
          <w:rFonts w:asciiTheme="minorHAnsi" w:hAnsiTheme="minorHAnsi" w:cstheme="minorHAnsi"/>
          <w:sz w:val="24"/>
          <w:szCs w:val="24"/>
        </w:rPr>
        <w:t xml:space="preserve"> challenges, learning from both successes and failures, in the operating environment.  </w:t>
      </w:r>
      <w:r w:rsidR="147B753D" w:rsidRPr="00B67AE7">
        <w:rPr>
          <w:rFonts w:asciiTheme="minorHAnsi" w:hAnsiTheme="minorHAnsi" w:cstheme="minorHAnsi"/>
          <w:color w:val="auto"/>
          <w:sz w:val="24"/>
          <w:szCs w:val="24"/>
        </w:rPr>
        <w:t xml:space="preserve">To be incorporated into the </w:t>
      </w:r>
      <w:r w:rsidR="1073C3BD" w:rsidRPr="00B67AE7">
        <w:rPr>
          <w:rFonts w:asciiTheme="minorHAnsi" w:hAnsiTheme="minorHAnsi" w:cstheme="minorHAnsi"/>
          <w:color w:val="auto"/>
          <w:sz w:val="24"/>
          <w:szCs w:val="24"/>
        </w:rPr>
        <w:t xml:space="preserve">ten </w:t>
      </w:r>
      <w:r w:rsidR="30B20F17" w:rsidRPr="00B67AE7">
        <w:rPr>
          <w:rFonts w:asciiTheme="minorHAnsi" w:hAnsiTheme="minorHAnsi" w:cstheme="minorHAnsi"/>
          <w:color w:val="auto"/>
          <w:sz w:val="24"/>
          <w:szCs w:val="24"/>
        </w:rPr>
        <w:t>(</w:t>
      </w:r>
      <w:r w:rsidR="147B753D" w:rsidRPr="00B67AE7">
        <w:rPr>
          <w:rFonts w:asciiTheme="minorHAnsi" w:hAnsiTheme="minorHAnsi" w:cstheme="minorHAnsi"/>
          <w:color w:val="auto"/>
          <w:sz w:val="24"/>
          <w:szCs w:val="24"/>
        </w:rPr>
        <w:t>10</w:t>
      </w:r>
      <w:r w:rsidR="30B20F17" w:rsidRPr="00B67AE7">
        <w:rPr>
          <w:rFonts w:asciiTheme="minorHAnsi" w:hAnsiTheme="minorHAnsi" w:cstheme="minorHAnsi"/>
          <w:color w:val="auto"/>
          <w:sz w:val="24"/>
          <w:szCs w:val="24"/>
        </w:rPr>
        <w:t xml:space="preserve">) </w:t>
      </w:r>
      <w:r w:rsidR="147B753D" w:rsidRPr="00B67AE7">
        <w:rPr>
          <w:rFonts w:asciiTheme="minorHAnsi" w:hAnsiTheme="minorHAnsi" w:cstheme="minorHAnsi"/>
          <w:color w:val="auto"/>
          <w:sz w:val="24"/>
          <w:szCs w:val="24"/>
        </w:rPr>
        <w:t>pages allowed for “Proposal Narrative</w:t>
      </w:r>
      <w:r w:rsidR="1073C3BD" w:rsidRPr="00B67AE7">
        <w:rPr>
          <w:rFonts w:asciiTheme="minorHAnsi" w:hAnsiTheme="minorHAnsi" w:cstheme="minorHAnsi"/>
          <w:color w:val="auto"/>
          <w:sz w:val="24"/>
          <w:szCs w:val="24"/>
        </w:rPr>
        <w:t>.”</w:t>
      </w:r>
      <w:r w:rsidR="147B753D" w:rsidRPr="00B67AE7">
        <w:rPr>
          <w:rFonts w:asciiTheme="minorHAnsi" w:hAnsiTheme="minorHAnsi" w:cstheme="minorHAnsi"/>
          <w:color w:val="auto"/>
          <w:sz w:val="24"/>
          <w:szCs w:val="24"/>
        </w:rPr>
        <w:t xml:space="preserve"> </w:t>
      </w:r>
      <w:r w:rsidR="1073C3BD" w:rsidRPr="00B67AE7">
        <w:rPr>
          <w:rFonts w:asciiTheme="minorHAnsi" w:hAnsiTheme="minorHAnsi" w:cstheme="minorHAnsi"/>
          <w:color w:val="auto"/>
          <w:sz w:val="24"/>
          <w:szCs w:val="24"/>
        </w:rPr>
        <w:t xml:space="preserve"> </w:t>
      </w:r>
    </w:p>
    <w:p w14:paraId="776498FE" w14:textId="77777777" w:rsidR="006448FC" w:rsidRPr="00B67AE7"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B67AE7"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B67AE7">
        <w:rPr>
          <w:rFonts w:asciiTheme="minorHAnsi" w:hAnsiTheme="minorHAnsi" w:cstheme="minorHAnsi"/>
          <w:b/>
          <w:bCs/>
          <w:sz w:val="24"/>
          <w:szCs w:val="24"/>
        </w:rPr>
        <w:t>Psychosocial Assistance</w:t>
      </w:r>
      <w:r w:rsidR="4D0E7E6D" w:rsidRPr="00B67AE7">
        <w:rPr>
          <w:rFonts w:asciiTheme="minorHAnsi" w:hAnsiTheme="minorHAnsi" w:cstheme="minorHAnsi"/>
          <w:b/>
          <w:bCs/>
          <w:sz w:val="24"/>
          <w:szCs w:val="24"/>
        </w:rPr>
        <w:t xml:space="preserve"> </w:t>
      </w:r>
      <w:r w:rsidR="4D0E7E6D" w:rsidRPr="00B67AE7">
        <w:rPr>
          <w:rFonts w:asciiTheme="minorHAnsi" w:hAnsiTheme="minorHAnsi" w:cstheme="minorHAnsi"/>
          <w:sz w:val="24"/>
          <w:szCs w:val="24"/>
        </w:rPr>
        <w:t xml:space="preserve">(to be </w:t>
      </w:r>
      <w:r w:rsidR="4D0E7E6D" w:rsidRPr="00B67AE7">
        <w:rPr>
          <w:rFonts w:asciiTheme="minorHAnsi" w:hAnsiTheme="minorHAnsi" w:cstheme="minorHAnsi"/>
          <w:color w:val="auto"/>
          <w:sz w:val="24"/>
          <w:szCs w:val="24"/>
        </w:rPr>
        <w:t>incorporated into the ten (10) pages allowed for “Proposal Narrative,” and into “Budget” and “Budget Narrative”)</w:t>
      </w:r>
      <w:r w:rsidR="1073C3BD" w:rsidRPr="00B67AE7">
        <w:rPr>
          <w:rFonts w:asciiTheme="minorHAnsi" w:hAnsiTheme="minorHAnsi" w:cstheme="minorHAnsi"/>
          <w:sz w:val="24"/>
          <w:szCs w:val="24"/>
        </w:rPr>
        <w:t>.</w:t>
      </w:r>
      <w:r w:rsidR="1073C3BD" w:rsidRPr="00B67AE7">
        <w:rPr>
          <w:rFonts w:asciiTheme="minorHAnsi" w:hAnsiTheme="minorHAnsi" w:cstheme="minorHAnsi"/>
          <w:b/>
          <w:bCs/>
          <w:sz w:val="24"/>
          <w:szCs w:val="24"/>
        </w:rPr>
        <w:t xml:space="preserve"> </w:t>
      </w:r>
      <w:r w:rsidRPr="00B67AE7">
        <w:rPr>
          <w:rFonts w:asciiTheme="minorHAnsi" w:hAnsiTheme="minorHAnsi" w:cstheme="minorHAnsi"/>
          <w:sz w:val="24"/>
          <w:szCs w:val="24"/>
        </w:rPr>
        <w:t xml:space="preserve"> </w:t>
      </w:r>
      <w:r w:rsidR="147B753D" w:rsidRPr="00B67AE7">
        <w:rPr>
          <w:rFonts w:asciiTheme="minorHAnsi" w:hAnsiTheme="minorHAnsi" w:cstheme="minorHAnsi"/>
          <w:sz w:val="24"/>
          <w:szCs w:val="24"/>
        </w:rPr>
        <w:t>A section in the proposal</w:t>
      </w:r>
      <w:r w:rsidR="1073C3BD" w:rsidRPr="00B67AE7">
        <w:rPr>
          <w:rFonts w:asciiTheme="minorHAnsi" w:hAnsiTheme="minorHAnsi" w:cstheme="minorHAnsi"/>
          <w:sz w:val="24"/>
          <w:szCs w:val="24"/>
        </w:rPr>
        <w:t>,</w:t>
      </w:r>
      <w:r w:rsidR="05DA27F8" w:rsidRPr="00B67AE7">
        <w:rPr>
          <w:rFonts w:asciiTheme="minorHAnsi" w:hAnsiTheme="minorHAnsi" w:cstheme="minorHAnsi"/>
          <w:sz w:val="24"/>
          <w:szCs w:val="24"/>
        </w:rPr>
        <w:t xml:space="preserve"> </w:t>
      </w:r>
      <w:r w:rsidR="147B753D" w:rsidRPr="00B67AE7">
        <w:rPr>
          <w:rFonts w:asciiTheme="minorHAnsi" w:hAnsiTheme="minorHAnsi" w:cstheme="minorHAnsi"/>
          <w:sz w:val="24"/>
          <w:szCs w:val="24"/>
        </w:rPr>
        <w:t>budget</w:t>
      </w:r>
      <w:r w:rsidR="1073C3BD" w:rsidRPr="00B67AE7">
        <w:rPr>
          <w:rFonts w:asciiTheme="minorHAnsi" w:hAnsiTheme="minorHAnsi" w:cstheme="minorHAnsi"/>
          <w:sz w:val="24"/>
          <w:szCs w:val="24"/>
        </w:rPr>
        <w:t>, and budget narrative</w:t>
      </w:r>
      <w:r w:rsidR="147B753D" w:rsidRPr="00B67AE7">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B67AE7">
        <w:rPr>
          <w:rFonts w:asciiTheme="minorHAnsi" w:hAnsiTheme="minorHAnsi" w:cstheme="minorHAnsi"/>
          <w:sz w:val="24"/>
          <w:szCs w:val="24"/>
        </w:rPr>
        <w:t>contextually relevant</w:t>
      </w:r>
      <w:r w:rsidR="147B753D" w:rsidRPr="00B67AE7">
        <w:rPr>
          <w:rFonts w:asciiTheme="minorHAnsi" w:hAnsiTheme="minorHAnsi" w:cstheme="minorHAnsi"/>
          <w:sz w:val="24"/>
          <w:szCs w:val="24"/>
        </w:rPr>
        <w:t xml:space="preserve"> </w:t>
      </w:r>
      <w:r w:rsidR="147B753D" w:rsidRPr="00B67AE7">
        <w:rPr>
          <w:rFonts w:asciiTheme="minorHAnsi" w:hAnsiTheme="minorHAnsi" w:cstheme="minorHAnsi"/>
          <w:color w:val="auto"/>
          <w:sz w:val="24"/>
          <w:szCs w:val="24"/>
        </w:rPr>
        <w:t xml:space="preserve">support). </w:t>
      </w:r>
      <w:r w:rsidR="1073C3BD" w:rsidRPr="00B67AE7">
        <w:rPr>
          <w:rFonts w:asciiTheme="minorHAnsi" w:hAnsiTheme="minorHAnsi" w:cstheme="minorHAnsi"/>
          <w:color w:val="auto"/>
          <w:sz w:val="24"/>
          <w:szCs w:val="24"/>
        </w:rPr>
        <w:t xml:space="preserve"> </w:t>
      </w:r>
    </w:p>
    <w:p w14:paraId="7FED179A" w14:textId="0B9FF2FC" w:rsidR="003670DE" w:rsidRPr="00B67AE7" w:rsidRDefault="147B753D" w:rsidP="003670DE">
      <w:pPr>
        <w:pStyle w:val="ListParagraph"/>
        <w:numPr>
          <w:ilvl w:val="1"/>
          <w:numId w:val="19"/>
        </w:numPr>
        <w:spacing w:after="0" w:line="240" w:lineRule="auto"/>
        <w:rPr>
          <w:rFonts w:asciiTheme="minorHAnsi" w:eastAsia="Times New Roman" w:hAnsiTheme="minorHAnsi" w:cstheme="minorHAnsi"/>
          <w:sz w:val="24"/>
          <w:szCs w:val="24"/>
        </w:rPr>
      </w:pPr>
      <w:r w:rsidRPr="00B67AE7">
        <w:rPr>
          <w:rFonts w:asciiTheme="minorHAnsi" w:eastAsia="Times New Roman" w:hAnsiTheme="minorHAnsi" w:cstheme="minorHAnsi"/>
          <w:sz w:val="24"/>
          <w:szCs w:val="24"/>
        </w:rPr>
        <w:t xml:space="preserve">References: </w:t>
      </w:r>
      <w:r w:rsidR="1073C3BD" w:rsidRPr="00B67AE7">
        <w:rPr>
          <w:rFonts w:asciiTheme="minorHAnsi" w:eastAsia="Times New Roman" w:hAnsiTheme="minorHAnsi" w:cstheme="minorHAnsi"/>
          <w:sz w:val="24"/>
          <w:szCs w:val="24"/>
        </w:rPr>
        <w:t xml:space="preserve"> </w:t>
      </w:r>
      <w:r w:rsidRPr="00B67AE7">
        <w:rPr>
          <w:rFonts w:asciiTheme="minorHAnsi" w:hAnsiTheme="minorHAnsi" w:cstheme="minorHAnsi"/>
          <w:sz w:val="24"/>
          <w:szCs w:val="24"/>
        </w:rPr>
        <w:t>For reference to international guidance, please see the following: Core Humanitarian Standard Commitment 8.9 (</w:t>
      </w:r>
      <w:hyperlink r:id="rId12">
        <w:r w:rsidR="30B20F17" w:rsidRPr="00B67AE7">
          <w:rPr>
            <w:rStyle w:val="Hyperlink"/>
            <w:rFonts w:asciiTheme="minorHAnsi" w:hAnsiTheme="minorHAnsi" w:cstheme="minorHAnsi"/>
            <w:sz w:val="24"/>
            <w:szCs w:val="24"/>
          </w:rPr>
          <w:t>https://corehumanitarianstandard.org/files/files/CHS-Guidance-Notes-and-Indicators.pdf</w:t>
        </w:r>
      </w:hyperlink>
      <w:r w:rsidRPr="00B67AE7">
        <w:rPr>
          <w:rFonts w:asciiTheme="minorHAnsi" w:hAnsiTheme="minorHAnsi" w:cstheme="minorHAnsi"/>
          <w:sz w:val="24"/>
          <w:szCs w:val="24"/>
        </w:rPr>
        <w:t>); and IASC Guidelines on Mental Health and Psycho</w:t>
      </w:r>
      <w:r w:rsidR="7E4B4928" w:rsidRPr="00B67AE7">
        <w:rPr>
          <w:rFonts w:asciiTheme="minorHAnsi" w:hAnsiTheme="minorHAnsi" w:cstheme="minorHAnsi"/>
          <w:sz w:val="24"/>
          <w:szCs w:val="24"/>
        </w:rPr>
        <w:t>social Support in Emergency Settings</w:t>
      </w:r>
      <w:r w:rsidRPr="00B67AE7">
        <w:rPr>
          <w:rFonts w:asciiTheme="minorHAnsi" w:hAnsiTheme="minorHAnsi" w:cstheme="minorHAnsi"/>
          <w:sz w:val="24"/>
          <w:szCs w:val="24"/>
        </w:rPr>
        <w:t xml:space="preserve"> Action Sheet 4.4 </w:t>
      </w:r>
      <w:r w:rsidRPr="00B67AE7">
        <w:rPr>
          <w:rFonts w:asciiTheme="minorHAnsi" w:hAnsiTheme="minorHAnsi" w:cstheme="minorHAnsi"/>
          <w:sz w:val="24"/>
          <w:szCs w:val="24"/>
        </w:rPr>
        <w:lastRenderedPageBreak/>
        <w:t>(</w:t>
      </w:r>
      <w:hyperlink r:id="rId13">
        <w:r w:rsidR="30B20F17" w:rsidRPr="00B67AE7">
          <w:rPr>
            <w:rStyle w:val="Hyperlink"/>
            <w:rFonts w:asciiTheme="minorHAnsi" w:hAnsiTheme="minorHAnsi" w:cstheme="minorHAnsi"/>
            <w:sz w:val="24"/>
            <w:szCs w:val="24"/>
          </w:rPr>
          <w:t>http://www.who.int/mental_health/emergencies/guidelines_iasc_mental_health_psychosocial_june_2007.pdf</w:t>
        </w:r>
      </w:hyperlink>
      <w:r w:rsidR="30B20F17" w:rsidRPr="00B67AE7">
        <w:rPr>
          <w:rFonts w:asciiTheme="minorHAnsi" w:hAnsiTheme="minorHAnsi" w:cstheme="minorHAnsi"/>
          <w:sz w:val="24"/>
          <w:szCs w:val="24"/>
        </w:rPr>
        <w:t>)</w:t>
      </w:r>
      <w:r w:rsidRPr="00B67AE7">
        <w:rPr>
          <w:rFonts w:asciiTheme="minorHAnsi" w:hAnsiTheme="minorHAnsi" w:cstheme="minorHAnsi"/>
          <w:sz w:val="24"/>
          <w:szCs w:val="24"/>
        </w:rPr>
        <w:t>.</w:t>
      </w:r>
    </w:p>
    <w:p w14:paraId="2FE23E32" w14:textId="77777777" w:rsidR="00B42B3A" w:rsidRDefault="00B42B3A" w:rsidP="00C91895">
      <w:pPr>
        <w:rPr>
          <w:rFonts w:asciiTheme="minorHAnsi" w:eastAsia="Times New Roman" w:hAnsiTheme="minorHAnsi" w:cstheme="minorHAnsi"/>
          <w:b/>
          <w:sz w:val="24"/>
          <w:szCs w:val="24"/>
        </w:rPr>
      </w:pPr>
    </w:p>
    <w:p w14:paraId="65D2DAE4" w14:textId="2CED8A60" w:rsidR="00C91895" w:rsidRPr="00AD1D9D" w:rsidRDefault="00C91895" w:rsidP="00C91895">
      <w:pPr>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(e.g.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For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w:t>
      </w:r>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before submitting an application</w:t>
      </w:r>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B87492"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B87492"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 xml:space="preserve">Or,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w:t>
      </w:r>
      <w:r w:rsidRPr="00AD1D9D">
        <w:rPr>
          <w:rFonts w:asciiTheme="minorHAnsi" w:eastAsia="Times New Roman" w:hAnsiTheme="minorHAnsi" w:cstheme="minorHAnsi"/>
          <w:sz w:val="24"/>
          <w:szCs w:val="24"/>
        </w:rPr>
        <w:lastRenderedPageBreak/>
        <w:t>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lastRenderedPageBreak/>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3" w:name="h.j3cqnkumzr3g"/>
      <w:bookmarkEnd w:id="3"/>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0EBEC47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B87492" w:rsidRPr="00B87492">
        <w:rPr>
          <w:rFonts w:asciiTheme="minorHAnsi" w:eastAsia="Times New Roman" w:hAnsiTheme="minorHAnsi" w:cstheme="minorHAnsi"/>
          <w:b/>
          <w:bCs/>
          <w:sz w:val="24"/>
          <w:szCs w:val="24"/>
        </w:rPr>
        <w:t>Monday, June 26, 2023</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B42B3A" w:rsidRPr="00B42B3A">
        <w:rPr>
          <w:rFonts w:asciiTheme="minorHAnsi" w:eastAsia="Times New Roman" w:hAnsiTheme="minorHAnsi" w:cstheme="minorHAnsi"/>
          <w:b/>
          <w:bCs/>
          <w:sz w:val="24"/>
          <w:szCs w:val="24"/>
        </w:rPr>
        <w:t>DRL Support for Recently Exiled Cuban Human Rights Defenders</w:t>
      </w:r>
      <w:r w:rsidR="6C62868C" w:rsidRPr="00AD1D9D">
        <w:rPr>
          <w:rFonts w:asciiTheme="minorHAnsi" w:eastAsia="Times New Roman" w:hAnsiTheme="minorHAnsi" w:cstheme="minorHAnsi"/>
          <w:b/>
          <w:bCs/>
          <w:sz w:val="24"/>
          <w:szCs w:val="24"/>
        </w:rPr>
        <w:t>,” funding opportunity number “</w:t>
      </w:r>
      <w:r w:rsidR="00B42B3A" w:rsidRPr="00B42B3A">
        <w:rPr>
          <w:rFonts w:asciiTheme="minorHAnsi" w:eastAsia="Times New Roman" w:hAnsiTheme="minorHAnsi" w:cstheme="minorHAnsi"/>
          <w:b/>
          <w:bCs/>
          <w:sz w:val="24"/>
          <w:szCs w:val="24"/>
        </w:rPr>
        <w:t>SFOP0009705</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lastRenderedPageBreak/>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(e.g.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lastRenderedPageBreak/>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4" w:name="h.30j0zll" w:colFirst="0" w:colLast="0"/>
      <w:bookmarkEnd w:id="4"/>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5" w:name="h.1fob9te" w:colFirst="0" w:colLast="0"/>
      <w:bookmarkEnd w:id="5"/>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w:t>
      </w:r>
      <w:r w:rsidRPr="00AD1D9D">
        <w:rPr>
          <w:rFonts w:asciiTheme="minorHAnsi" w:hAnsiTheme="minorHAnsi" w:cstheme="minorHAnsi"/>
          <w:color w:val="auto"/>
          <w:sz w:val="24"/>
          <w:szCs w:val="24"/>
        </w:rPr>
        <w:lastRenderedPageBreak/>
        <w:t>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1648A614" w:rsidRPr="00AD1D9D">
        <w:rPr>
          <w:rFonts w:asciiTheme="minorHAnsi" w:hAnsiTheme="minorHAnsi" w:cstheme="minorHAnsi"/>
          <w:color w:val="auto"/>
          <w:sz w:val="24"/>
          <w:szCs w:val="24"/>
        </w:rPr>
        <w:t>Discrimination, violence, inequity, and inequality</w:t>
      </w:r>
      <w:bookmarkEnd w:id="6"/>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w:t>
      </w:r>
      <w:r w:rsidRPr="00AD1D9D">
        <w:rPr>
          <w:rFonts w:asciiTheme="minorHAnsi" w:hAnsiTheme="minorHAnsi" w:cstheme="minorHAnsi"/>
          <w:color w:val="auto"/>
          <w:sz w:val="24"/>
          <w:szCs w:val="24"/>
        </w:rPr>
        <w:lastRenderedPageBreak/>
        <w:t xml:space="preserve">inclusive and integrated program models that assess and address the barriers to access for individuals and groups based on their </w:t>
      </w:r>
      <w:bookmarkStart w:id="7"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7"/>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8" w:name="_Hlk87981246"/>
      <w:r w:rsidR="3C5BD54E" w:rsidRPr="00AD1D9D">
        <w:rPr>
          <w:rFonts w:asciiTheme="minorHAnsi" w:hAnsiTheme="minorHAnsi" w:cstheme="minorHAnsi"/>
          <w:color w:val="auto"/>
          <w:sz w:val="24"/>
          <w:szCs w:val="24"/>
        </w:rPr>
        <w:t>for underserved and underrepresented communities</w:t>
      </w:r>
      <w:bookmarkEnd w:id="8"/>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9" w:name="h.wxagwv88ai7a" w:colFirst="0" w:colLast="0"/>
      <w:bookmarkEnd w:id="9"/>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0" w:name="h.3znysh7" w:colFirst="0" w:colLast="0"/>
      <w:bookmarkEnd w:id="10"/>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1" w:name="h.2et92p0" w:colFirst="0" w:colLast="0"/>
      <w:bookmarkEnd w:id="11"/>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Complete applications will include a detailed M&amp;E Narrative, which detail how the project’s progress will be monitored and evaluated.  Incorporating well-designed monitoring and evaluation processes into a project is an efficient method for documenting the change </w:t>
      </w:r>
      <w:r w:rsidRPr="00AD1D9D">
        <w:rPr>
          <w:rFonts w:asciiTheme="minorHAnsi" w:hAnsiTheme="minorHAnsi" w:cstheme="minorHAnsi"/>
          <w:color w:val="auto"/>
          <w:sz w:val="24"/>
          <w:szCs w:val="24"/>
        </w:rPr>
        <w:lastRenderedPageBreak/>
        <w:t>(intended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includes representatives from DRL, the appropriate Department of State regional bureau (to include feedback from U.S. embassies), and U.S. Agency for International Development (USAID) (to include feedback from USAID missions).  In </w:t>
      </w:r>
      <w:r w:rsidRPr="00AD1D9D">
        <w:rPr>
          <w:rFonts w:asciiTheme="minorHAnsi" w:eastAsia="Times New Roman" w:hAnsiTheme="minorHAnsi" w:cstheme="minorHAnsi"/>
          <w:color w:val="auto"/>
          <w:sz w:val="24"/>
          <w:szCs w:val="24"/>
        </w:rPr>
        <w:lastRenderedPageBreak/>
        <w:t>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to be electronically counter-signed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8"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9">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7981F02E" w14:textId="6C25BF4A" w:rsidR="002A01B1" w:rsidRPr="006C208E" w:rsidRDefault="0C5FAA87" w:rsidP="00DF259E">
      <w:pPr>
        <w:spacing w:after="0" w:line="240" w:lineRule="auto"/>
        <w:rPr>
          <w:rFonts w:asciiTheme="minorHAnsi" w:hAnsiTheme="minorHAnsi" w:cstheme="minorHAnsi"/>
          <w:b/>
          <w:bCs/>
          <w:color w:val="auto"/>
          <w:sz w:val="24"/>
          <w:szCs w:val="24"/>
        </w:rPr>
      </w:pPr>
      <w:r w:rsidRPr="006C208E">
        <w:rPr>
          <w:rFonts w:asciiTheme="minorHAnsi" w:hAnsiTheme="minorHAnsi" w:cstheme="minorHAnsi"/>
          <w:b/>
          <w:bCs/>
          <w:color w:val="auto"/>
          <w:sz w:val="24"/>
          <w:szCs w:val="24"/>
          <w:u w:val="single"/>
        </w:rPr>
        <w:t>Subject to TVPA for funds obligated during FY 202</w:t>
      </w:r>
      <w:r w:rsidR="0B26D633" w:rsidRPr="006C208E">
        <w:rPr>
          <w:rFonts w:asciiTheme="minorHAnsi" w:hAnsiTheme="minorHAnsi" w:cstheme="minorHAnsi"/>
          <w:b/>
          <w:bCs/>
          <w:color w:val="auto"/>
          <w:sz w:val="24"/>
          <w:szCs w:val="24"/>
          <w:u w:val="single"/>
        </w:rPr>
        <w:t>3</w:t>
      </w:r>
      <w:r w:rsidRPr="006C208E">
        <w:rPr>
          <w:rFonts w:asciiTheme="minorHAnsi" w:hAnsiTheme="minorHAnsi" w:cstheme="minorHAnsi"/>
          <w:b/>
          <w:bCs/>
          <w:color w:val="auto"/>
          <w:sz w:val="24"/>
          <w:szCs w:val="24"/>
          <w:u w:val="single"/>
        </w:rPr>
        <w:t>:</w:t>
      </w:r>
    </w:p>
    <w:p w14:paraId="556A225F" w14:textId="3175715F" w:rsidR="0057151D" w:rsidRPr="006C208E" w:rsidRDefault="4E76A6CB" w:rsidP="00DF259E">
      <w:pPr>
        <w:spacing w:after="0" w:line="240" w:lineRule="auto"/>
        <w:rPr>
          <w:rFonts w:asciiTheme="minorHAnsi" w:hAnsiTheme="minorHAnsi" w:cstheme="minorHAnsi"/>
          <w:color w:val="auto"/>
          <w:sz w:val="24"/>
          <w:szCs w:val="24"/>
        </w:rPr>
      </w:pPr>
      <w:r w:rsidRPr="006C208E">
        <w:rPr>
          <w:rFonts w:asciiTheme="minorHAnsi" w:hAnsiTheme="minorHAnsi" w:cstheme="minorHAnsi"/>
          <w:b/>
          <w:bCs/>
          <w:color w:val="auto"/>
          <w:sz w:val="24"/>
          <w:szCs w:val="24"/>
        </w:rPr>
        <w:t>WHA:</w:t>
      </w:r>
      <w:r w:rsidR="0C5FAA87" w:rsidRPr="006C208E">
        <w:rPr>
          <w:rFonts w:asciiTheme="minorHAnsi" w:hAnsiTheme="minorHAnsi" w:cstheme="minorHAnsi"/>
          <w:b/>
          <w:bCs/>
          <w:color w:val="auto"/>
          <w:sz w:val="24"/>
          <w:szCs w:val="24"/>
        </w:rPr>
        <w:t xml:space="preserve"> </w:t>
      </w:r>
      <w:r w:rsidR="61E4577B" w:rsidRPr="006C208E">
        <w:rPr>
          <w:rFonts w:asciiTheme="minorHAnsi" w:hAnsiTheme="minorHAnsi" w:cstheme="minorHAnsi"/>
          <w:b/>
          <w:bCs/>
          <w:color w:val="auto"/>
          <w:sz w:val="24"/>
          <w:szCs w:val="24"/>
        </w:rPr>
        <w:t xml:space="preserve"> </w:t>
      </w:r>
      <w:r w:rsidR="0C5FAA87" w:rsidRPr="006C208E">
        <w:rPr>
          <w:rFonts w:asciiTheme="minorHAnsi" w:hAnsiTheme="minorHAnsi" w:cstheme="minorHAnsi"/>
          <w:color w:val="auto"/>
          <w:sz w:val="24"/>
          <w:szCs w:val="24"/>
        </w:rPr>
        <w:t xml:space="preserve">Cuba, </w:t>
      </w:r>
      <w:r w:rsidR="3FE2F475" w:rsidRPr="006C208E">
        <w:rPr>
          <w:rFonts w:asciiTheme="minorHAnsi" w:hAnsiTheme="minorHAnsi" w:cstheme="minorHAnsi"/>
          <w:color w:val="auto"/>
          <w:sz w:val="24"/>
          <w:szCs w:val="24"/>
        </w:rPr>
        <w:t xml:space="preserve">Curacao, </w:t>
      </w:r>
      <w:r w:rsidR="08469959" w:rsidRPr="006C208E">
        <w:rPr>
          <w:rFonts w:asciiTheme="minorHAnsi" w:hAnsiTheme="minorHAnsi" w:cstheme="minorHAnsi"/>
          <w:color w:val="auto"/>
          <w:sz w:val="24"/>
          <w:szCs w:val="24"/>
        </w:rPr>
        <w:t>Nicaragua</w:t>
      </w:r>
      <w:r w:rsidR="33C0DD41" w:rsidRPr="006C208E">
        <w:rPr>
          <w:rFonts w:asciiTheme="minorHAnsi" w:hAnsiTheme="minorHAnsi" w:cstheme="minorHAnsi"/>
          <w:color w:val="auto"/>
          <w:sz w:val="24"/>
          <w:szCs w:val="24"/>
        </w:rPr>
        <w:t xml:space="preserve">, </w:t>
      </w:r>
      <w:r w:rsidR="30079800" w:rsidRPr="006C208E">
        <w:rPr>
          <w:rFonts w:asciiTheme="minorHAnsi" w:hAnsiTheme="minorHAnsi" w:cstheme="minorHAnsi"/>
          <w:color w:val="auto"/>
          <w:sz w:val="24"/>
          <w:szCs w:val="24"/>
        </w:rPr>
        <w:t>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0"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w:t>
      </w:r>
      <w:r w:rsidRPr="00AD1D9D">
        <w:rPr>
          <w:rFonts w:asciiTheme="minorHAnsi" w:eastAsia="Times New Roman" w:hAnsiTheme="minorHAnsi" w:cstheme="minorHAnsi"/>
          <w:color w:val="auto"/>
          <w:sz w:val="24"/>
          <w:szCs w:val="24"/>
        </w:rPr>
        <w:lastRenderedPageBreak/>
        <w:t xml:space="preserve">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ramework indicator(s) for the quarter as well as aggregate data by fiscal year</w:t>
      </w:r>
      <w:r w:rsidR="0C891CE9"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Program Indicators or other mutually agreed upon format approved by the Grants Officer</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25E6B2D2"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41" w:history="1">
        <w:r w:rsidR="00B87492" w:rsidRPr="00EC69D4">
          <w:rPr>
            <w:rStyle w:val="Hyperlink"/>
            <w:rFonts w:asciiTheme="minorHAnsi" w:eastAsia="Times New Roman" w:hAnsiTheme="minorHAnsi" w:cstheme="minorHAnsi"/>
            <w:sz w:val="24"/>
            <w:szCs w:val="24"/>
          </w:rPr>
          <w:t>DRLWHAGrants@state.gov</w:t>
        </w:r>
      </w:hyperlink>
      <w:r w:rsidRPr="00AD1D9D">
        <w:rPr>
          <w:rFonts w:asciiTheme="minorHAnsi" w:eastAsia="Times New Roman" w:hAnsiTheme="minorHAnsi" w:cstheme="minorHAnsi"/>
          <w:sz w:val="24"/>
          <w:szCs w:val="24"/>
        </w:rPr>
        <w:t>.</w:t>
      </w:r>
      <w:r w:rsidR="00B87492">
        <w:rPr>
          <w:rFonts w:asciiTheme="minorHAnsi" w:eastAsia="Times New Roman"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2"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3"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2"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B87492" w:rsidP="00DA36CE">
      <w:pPr>
        <w:pStyle w:val="NoSpacing"/>
        <w:rPr>
          <w:rFonts w:asciiTheme="minorHAnsi" w:hAnsiTheme="minorHAnsi" w:cstheme="minorHAnsi"/>
          <w:sz w:val="24"/>
          <w:szCs w:val="24"/>
        </w:rPr>
      </w:pPr>
      <w:hyperlink r:id="rId44" w:history="1">
        <w:r w:rsidR="00E63800" w:rsidRPr="00AD1D9D">
          <w:rPr>
            <w:rStyle w:val="Hyperlink"/>
            <w:rFonts w:asciiTheme="minorHAnsi" w:hAnsiTheme="minorHAnsi" w:cstheme="minorHAnsi"/>
            <w:sz w:val="24"/>
            <w:szCs w:val="24"/>
          </w:rPr>
          <w:t>https://www.opm.gov/policy-data-oversight/pay-leave/federal-holidays/</w:t>
        </w:r>
      </w:hyperlink>
    </w:p>
    <w:bookmarkEnd w:id="12"/>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w:t>
      </w:r>
      <w:r w:rsidRPr="00AD1D9D">
        <w:rPr>
          <w:rFonts w:asciiTheme="minorHAnsi" w:hAnsiTheme="minorHAnsi" w:cstheme="minorHAnsi"/>
          <w:sz w:val="24"/>
          <w:szCs w:val="24"/>
        </w:rPr>
        <w:lastRenderedPageBreak/>
        <w:t xml:space="preserve">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5"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6"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7"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3" w:name="h.3dy6vkm" w:colFirst="0" w:colLast="0"/>
      <w:bookmarkEnd w:id="13"/>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8"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B43F47"/>
    <w:multiLevelType w:val="hybridMultilevel"/>
    <w:tmpl w:val="FFFFFFFF"/>
    <w:lvl w:ilvl="0" w:tplc="3850E8BA">
      <w:start w:val="1"/>
      <w:numFmt w:val="lowerLetter"/>
      <w:lvlText w:val="%1."/>
      <w:lvlJc w:val="left"/>
      <w:pPr>
        <w:ind w:left="1440" w:hanging="360"/>
      </w:pPr>
      <w:rPr>
        <w:rFonts w:ascii="Calibri" w:hAnsi="Calibri" w:hint="default"/>
      </w:rPr>
    </w:lvl>
    <w:lvl w:ilvl="1" w:tplc="CBCA99AA">
      <w:start w:val="1"/>
      <w:numFmt w:val="lowerLetter"/>
      <w:lvlText w:val="%2."/>
      <w:lvlJc w:val="left"/>
      <w:pPr>
        <w:ind w:left="1440" w:hanging="360"/>
      </w:pPr>
    </w:lvl>
    <w:lvl w:ilvl="2" w:tplc="A9F8019A">
      <w:start w:val="1"/>
      <w:numFmt w:val="lowerRoman"/>
      <w:lvlText w:val="%3."/>
      <w:lvlJc w:val="right"/>
      <w:pPr>
        <w:ind w:left="2160" w:hanging="180"/>
      </w:pPr>
    </w:lvl>
    <w:lvl w:ilvl="3" w:tplc="BDDEA672">
      <w:start w:val="1"/>
      <w:numFmt w:val="decimal"/>
      <w:lvlText w:val="%4."/>
      <w:lvlJc w:val="left"/>
      <w:pPr>
        <w:ind w:left="2880" w:hanging="360"/>
      </w:pPr>
    </w:lvl>
    <w:lvl w:ilvl="4" w:tplc="CC90398C">
      <w:start w:val="1"/>
      <w:numFmt w:val="lowerLetter"/>
      <w:lvlText w:val="%5."/>
      <w:lvlJc w:val="left"/>
      <w:pPr>
        <w:ind w:left="3600" w:hanging="360"/>
      </w:pPr>
    </w:lvl>
    <w:lvl w:ilvl="5" w:tplc="FFFC1656">
      <w:start w:val="1"/>
      <w:numFmt w:val="lowerRoman"/>
      <w:lvlText w:val="%6."/>
      <w:lvlJc w:val="right"/>
      <w:pPr>
        <w:ind w:left="4320" w:hanging="180"/>
      </w:pPr>
    </w:lvl>
    <w:lvl w:ilvl="6" w:tplc="4438A4D0">
      <w:start w:val="1"/>
      <w:numFmt w:val="decimal"/>
      <w:lvlText w:val="%7."/>
      <w:lvlJc w:val="left"/>
      <w:pPr>
        <w:ind w:left="5040" w:hanging="360"/>
      </w:pPr>
    </w:lvl>
    <w:lvl w:ilvl="7" w:tplc="466E700E">
      <w:start w:val="1"/>
      <w:numFmt w:val="lowerLetter"/>
      <w:lvlText w:val="%8."/>
      <w:lvlJc w:val="left"/>
      <w:pPr>
        <w:ind w:left="5760" w:hanging="360"/>
      </w:pPr>
    </w:lvl>
    <w:lvl w:ilvl="8" w:tplc="36B65580">
      <w:start w:val="1"/>
      <w:numFmt w:val="lowerRoman"/>
      <w:lvlText w:val="%9."/>
      <w:lvlJc w:val="right"/>
      <w:pPr>
        <w:ind w:left="6480" w:hanging="180"/>
      </w:p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190E5"/>
    <w:multiLevelType w:val="hybridMultilevel"/>
    <w:tmpl w:val="FFFFFFFF"/>
    <w:lvl w:ilvl="0" w:tplc="40008FD0">
      <w:start w:val="1"/>
      <w:numFmt w:val="lowerLetter"/>
      <w:lvlText w:val="%1."/>
      <w:lvlJc w:val="left"/>
      <w:pPr>
        <w:ind w:left="1440" w:hanging="360"/>
      </w:pPr>
      <w:rPr>
        <w:rFonts w:ascii="Calibri" w:hAnsi="Calibri" w:hint="default"/>
      </w:rPr>
    </w:lvl>
    <w:lvl w:ilvl="1" w:tplc="BD1A1240">
      <w:start w:val="1"/>
      <w:numFmt w:val="lowerLetter"/>
      <w:lvlText w:val="%2."/>
      <w:lvlJc w:val="left"/>
      <w:pPr>
        <w:ind w:left="1440" w:hanging="360"/>
      </w:pPr>
    </w:lvl>
    <w:lvl w:ilvl="2" w:tplc="74D80172">
      <w:start w:val="1"/>
      <w:numFmt w:val="lowerRoman"/>
      <w:lvlText w:val="%3."/>
      <w:lvlJc w:val="right"/>
      <w:pPr>
        <w:ind w:left="2160" w:hanging="180"/>
      </w:pPr>
    </w:lvl>
    <w:lvl w:ilvl="3" w:tplc="DF72D80C">
      <w:start w:val="1"/>
      <w:numFmt w:val="decimal"/>
      <w:lvlText w:val="%4."/>
      <w:lvlJc w:val="left"/>
      <w:pPr>
        <w:ind w:left="2880" w:hanging="360"/>
      </w:pPr>
    </w:lvl>
    <w:lvl w:ilvl="4" w:tplc="D44874BA">
      <w:start w:val="1"/>
      <w:numFmt w:val="lowerLetter"/>
      <w:lvlText w:val="%5."/>
      <w:lvlJc w:val="left"/>
      <w:pPr>
        <w:ind w:left="3600" w:hanging="360"/>
      </w:pPr>
    </w:lvl>
    <w:lvl w:ilvl="5" w:tplc="78303B38">
      <w:start w:val="1"/>
      <w:numFmt w:val="lowerRoman"/>
      <w:lvlText w:val="%6."/>
      <w:lvlJc w:val="right"/>
      <w:pPr>
        <w:ind w:left="4320" w:hanging="180"/>
      </w:pPr>
    </w:lvl>
    <w:lvl w:ilvl="6" w:tplc="2E54B4DA">
      <w:start w:val="1"/>
      <w:numFmt w:val="decimal"/>
      <w:lvlText w:val="%7."/>
      <w:lvlJc w:val="left"/>
      <w:pPr>
        <w:ind w:left="5040" w:hanging="360"/>
      </w:pPr>
    </w:lvl>
    <w:lvl w:ilvl="7" w:tplc="B34AC62E">
      <w:start w:val="1"/>
      <w:numFmt w:val="lowerLetter"/>
      <w:lvlText w:val="%8."/>
      <w:lvlJc w:val="left"/>
      <w:pPr>
        <w:ind w:left="5760" w:hanging="360"/>
      </w:pPr>
    </w:lvl>
    <w:lvl w:ilvl="8" w:tplc="4C64F268">
      <w:start w:val="1"/>
      <w:numFmt w:val="lowerRoman"/>
      <w:lvlText w:val="%9."/>
      <w:lvlJc w:val="right"/>
      <w:pPr>
        <w:ind w:left="6480" w:hanging="180"/>
      </w:pPr>
    </w:lvl>
  </w:abstractNum>
  <w:abstractNum w:abstractNumId="1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911D832"/>
    <w:multiLevelType w:val="hybridMultilevel"/>
    <w:tmpl w:val="FFFFFFFF"/>
    <w:lvl w:ilvl="0" w:tplc="139E083E">
      <w:start w:val="1"/>
      <w:numFmt w:val="decimal"/>
      <w:lvlText w:val="%1."/>
      <w:lvlJc w:val="left"/>
      <w:pPr>
        <w:ind w:left="720" w:hanging="360"/>
      </w:pPr>
      <w:rPr>
        <w:rFonts w:ascii="Calibri" w:hAnsi="Calibri" w:hint="default"/>
      </w:rPr>
    </w:lvl>
    <w:lvl w:ilvl="1" w:tplc="AEB00540">
      <w:start w:val="1"/>
      <w:numFmt w:val="lowerLetter"/>
      <w:lvlText w:val="%2."/>
      <w:lvlJc w:val="left"/>
      <w:pPr>
        <w:ind w:left="1440" w:hanging="360"/>
      </w:pPr>
    </w:lvl>
    <w:lvl w:ilvl="2" w:tplc="C2C6C20A">
      <w:start w:val="1"/>
      <w:numFmt w:val="lowerRoman"/>
      <w:lvlText w:val="%3."/>
      <w:lvlJc w:val="right"/>
      <w:pPr>
        <w:ind w:left="2160" w:hanging="180"/>
      </w:pPr>
    </w:lvl>
    <w:lvl w:ilvl="3" w:tplc="978662EE">
      <w:start w:val="1"/>
      <w:numFmt w:val="decimal"/>
      <w:lvlText w:val="%4."/>
      <w:lvlJc w:val="left"/>
      <w:pPr>
        <w:ind w:left="2880" w:hanging="360"/>
      </w:pPr>
    </w:lvl>
    <w:lvl w:ilvl="4" w:tplc="987092E0">
      <w:start w:val="1"/>
      <w:numFmt w:val="lowerLetter"/>
      <w:lvlText w:val="%5."/>
      <w:lvlJc w:val="left"/>
      <w:pPr>
        <w:ind w:left="3600" w:hanging="360"/>
      </w:pPr>
    </w:lvl>
    <w:lvl w:ilvl="5" w:tplc="24BA67AE">
      <w:start w:val="1"/>
      <w:numFmt w:val="lowerRoman"/>
      <w:lvlText w:val="%6."/>
      <w:lvlJc w:val="right"/>
      <w:pPr>
        <w:ind w:left="4320" w:hanging="180"/>
      </w:pPr>
    </w:lvl>
    <w:lvl w:ilvl="6" w:tplc="DB92232C">
      <w:start w:val="1"/>
      <w:numFmt w:val="decimal"/>
      <w:lvlText w:val="%7."/>
      <w:lvlJc w:val="left"/>
      <w:pPr>
        <w:ind w:left="5040" w:hanging="360"/>
      </w:pPr>
    </w:lvl>
    <w:lvl w:ilvl="7" w:tplc="CBF28AB2">
      <w:start w:val="1"/>
      <w:numFmt w:val="lowerLetter"/>
      <w:lvlText w:val="%8."/>
      <w:lvlJc w:val="left"/>
      <w:pPr>
        <w:ind w:left="5760" w:hanging="360"/>
      </w:pPr>
    </w:lvl>
    <w:lvl w:ilvl="8" w:tplc="5150FEE2">
      <w:start w:val="1"/>
      <w:numFmt w:val="lowerRoman"/>
      <w:lvlText w:val="%9."/>
      <w:lvlJc w:val="right"/>
      <w:pPr>
        <w:ind w:left="6480" w:hanging="180"/>
      </w:pPr>
    </w:lvl>
  </w:abstractNum>
  <w:abstractNum w:abstractNumId="2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9"/>
  </w:num>
  <w:num w:numId="3" w16cid:durableId="1772164814">
    <w:abstractNumId w:val="5"/>
  </w:num>
  <w:num w:numId="4" w16cid:durableId="1631324051">
    <w:abstractNumId w:val="23"/>
  </w:num>
  <w:num w:numId="5" w16cid:durableId="1692490519">
    <w:abstractNumId w:val="12"/>
  </w:num>
  <w:num w:numId="6" w16cid:durableId="626548985">
    <w:abstractNumId w:val="19"/>
  </w:num>
  <w:num w:numId="7" w16cid:durableId="1734505128">
    <w:abstractNumId w:val="28"/>
  </w:num>
  <w:num w:numId="8" w16cid:durableId="1341197175">
    <w:abstractNumId w:val="14"/>
  </w:num>
  <w:num w:numId="9" w16cid:durableId="2010909139">
    <w:abstractNumId w:val="0"/>
  </w:num>
  <w:num w:numId="10" w16cid:durableId="424224806">
    <w:abstractNumId w:val="31"/>
  </w:num>
  <w:num w:numId="11" w16cid:durableId="1964732263">
    <w:abstractNumId w:val="9"/>
  </w:num>
  <w:num w:numId="12" w16cid:durableId="923345220">
    <w:abstractNumId w:val="27"/>
  </w:num>
  <w:num w:numId="13" w16cid:durableId="143477873">
    <w:abstractNumId w:val="18"/>
  </w:num>
  <w:num w:numId="14" w16cid:durableId="210726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7"/>
  </w:num>
  <w:num w:numId="17" w16cid:durableId="1519275909">
    <w:abstractNumId w:val="20"/>
  </w:num>
  <w:num w:numId="18" w16cid:durableId="661353126">
    <w:abstractNumId w:val="10"/>
  </w:num>
  <w:num w:numId="19" w16cid:durableId="1799297248">
    <w:abstractNumId w:val="8"/>
  </w:num>
  <w:num w:numId="20" w16cid:durableId="611666218">
    <w:abstractNumId w:val="25"/>
  </w:num>
  <w:num w:numId="21" w16cid:durableId="1298072033">
    <w:abstractNumId w:val="13"/>
  </w:num>
  <w:num w:numId="22" w16cid:durableId="1985037717">
    <w:abstractNumId w:val="3"/>
  </w:num>
  <w:num w:numId="23" w16cid:durableId="508645959">
    <w:abstractNumId w:val="30"/>
  </w:num>
  <w:num w:numId="24" w16cid:durableId="710500864">
    <w:abstractNumId w:val="24"/>
  </w:num>
  <w:num w:numId="25" w16cid:durableId="1758943261">
    <w:abstractNumId w:val="4"/>
  </w:num>
  <w:num w:numId="26" w16cid:durableId="1643465901">
    <w:abstractNumId w:val="13"/>
  </w:num>
  <w:num w:numId="27" w16cid:durableId="925454646">
    <w:abstractNumId w:val="6"/>
  </w:num>
  <w:num w:numId="28" w16cid:durableId="1444616659">
    <w:abstractNumId w:val="7"/>
  </w:num>
  <w:num w:numId="29" w16cid:durableId="51468799">
    <w:abstractNumId w:val="26"/>
  </w:num>
  <w:num w:numId="30" w16cid:durableId="68314481">
    <w:abstractNumId w:val="21"/>
  </w:num>
  <w:num w:numId="31" w16cid:durableId="1423142258">
    <w:abstractNumId w:val="32"/>
  </w:num>
  <w:num w:numId="32" w16cid:durableId="1226181100">
    <w:abstractNumId w:val="2"/>
  </w:num>
  <w:num w:numId="33" w16cid:durableId="66924449">
    <w:abstractNumId w:val="1"/>
  </w:num>
  <w:num w:numId="34" w16cid:durableId="1737122619">
    <w:abstractNumId w:val="16"/>
  </w:num>
  <w:num w:numId="35" w16cid:durableId="5077976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8F1"/>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07A8"/>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208E"/>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2B3A"/>
    <w:rsid w:val="00B4427F"/>
    <w:rsid w:val="00B50116"/>
    <w:rsid w:val="00B52585"/>
    <w:rsid w:val="00B52C91"/>
    <w:rsid w:val="00B53BCE"/>
    <w:rsid w:val="00B54475"/>
    <w:rsid w:val="00B62E7B"/>
    <w:rsid w:val="00B64551"/>
    <w:rsid w:val="00B67AE7"/>
    <w:rsid w:val="00B70A15"/>
    <w:rsid w:val="00B7128F"/>
    <w:rsid w:val="00B712E0"/>
    <w:rsid w:val="00B747CE"/>
    <w:rsid w:val="00B75E79"/>
    <w:rsid w:val="00B82D17"/>
    <w:rsid w:val="00B83A2C"/>
    <w:rsid w:val="00B83ADB"/>
    <w:rsid w:val="00B87492"/>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99"/>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99"/>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754816575">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53459567">
      <w:bodyDiv w:val="1"/>
      <w:marLeft w:val="0"/>
      <w:marRight w:val="0"/>
      <w:marTop w:val="0"/>
      <w:marBottom w:val="0"/>
      <w:divBdr>
        <w:top w:val="none" w:sz="0" w:space="0" w:color="auto"/>
        <w:left w:val="none" w:sz="0" w:space="0" w:color="auto"/>
        <w:bottom w:val="none" w:sz="0" w:space="0" w:color="auto"/>
        <w:right w:val="none" w:sz="0" w:space="0" w:color="auto"/>
      </w:divBdr>
      <w:divsChild>
        <w:div w:id="24332612">
          <w:marLeft w:val="0"/>
          <w:marRight w:val="0"/>
          <w:marTop w:val="0"/>
          <w:marBottom w:val="0"/>
          <w:divBdr>
            <w:top w:val="none" w:sz="0" w:space="0" w:color="auto"/>
            <w:left w:val="none" w:sz="0" w:space="0" w:color="auto"/>
            <w:bottom w:val="none" w:sz="0" w:space="0" w:color="auto"/>
            <w:right w:val="none" w:sz="0" w:space="0" w:color="auto"/>
          </w:divBdr>
        </w:div>
        <w:div w:id="1503935303">
          <w:marLeft w:val="0"/>
          <w:marRight w:val="0"/>
          <w:marTop w:val="0"/>
          <w:marBottom w:val="0"/>
          <w:divBdr>
            <w:top w:val="none" w:sz="0" w:space="0" w:color="auto"/>
            <w:left w:val="none" w:sz="0" w:space="0" w:color="auto"/>
            <w:bottom w:val="none" w:sz="0" w:space="0" w:color="auto"/>
            <w:right w:val="none" w:sz="0" w:space="0" w:color="auto"/>
          </w:divBdr>
        </w:div>
        <w:div w:id="537205434">
          <w:marLeft w:val="0"/>
          <w:marRight w:val="0"/>
          <w:marTop w:val="0"/>
          <w:marBottom w:val="0"/>
          <w:divBdr>
            <w:top w:val="none" w:sz="0" w:space="0" w:color="auto"/>
            <w:left w:val="none" w:sz="0" w:space="0" w:color="auto"/>
            <w:bottom w:val="none" w:sz="0" w:space="0" w:color="auto"/>
            <w:right w:val="none" w:sz="0" w:space="0" w:color="auto"/>
          </w:divBdr>
        </w:div>
        <w:div w:id="1646550254">
          <w:marLeft w:val="0"/>
          <w:marRight w:val="0"/>
          <w:marTop w:val="0"/>
          <w:marBottom w:val="0"/>
          <w:divBdr>
            <w:top w:val="none" w:sz="0" w:space="0" w:color="auto"/>
            <w:left w:val="none" w:sz="0" w:space="0" w:color="auto"/>
            <w:bottom w:val="none" w:sz="0" w:space="0" w:color="auto"/>
            <w:right w:val="none" w:sz="0" w:space="0" w:color="auto"/>
          </w:divBdr>
        </w:div>
        <w:div w:id="1122073401">
          <w:marLeft w:val="0"/>
          <w:marRight w:val="0"/>
          <w:marTop w:val="0"/>
          <w:marBottom w:val="0"/>
          <w:divBdr>
            <w:top w:val="none" w:sz="0" w:space="0" w:color="auto"/>
            <w:left w:val="none" w:sz="0" w:space="0" w:color="auto"/>
            <w:bottom w:val="none" w:sz="0" w:space="0" w:color="auto"/>
            <w:right w:val="none" w:sz="0" w:space="0" w:color="auto"/>
          </w:divBdr>
        </w:div>
        <w:div w:id="1742826658">
          <w:marLeft w:val="0"/>
          <w:marRight w:val="0"/>
          <w:marTop w:val="0"/>
          <w:marBottom w:val="0"/>
          <w:divBdr>
            <w:top w:val="none" w:sz="0" w:space="0" w:color="auto"/>
            <w:left w:val="none" w:sz="0" w:space="0" w:color="auto"/>
            <w:bottom w:val="none" w:sz="0" w:space="0" w:color="auto"/>
            <w:right w:val="none" w:sz="0" w:space="0" w:color="auto"/>
          </w:divBdr>
        </w:div>
        <w:div w:id="668024710">
          <w:marLeft w:val="0"/>
          <w:marRight w:val="0"/>
          <w:marTop w:val="0"/>
          <w:marBottom w:val="0"/>
          <w:divBdr>
            <w:top w:val="none" w:sz="0" w:space="0" w:color="auto"/>
            <w:left w:val="none" w:sz="0" w:space="0" w:color="auto"/>
            <w:bottom w:val="none" w:sz="0" w:space="0" w:color="auto"/>
            <w:right w:val="none" w:sz="0" w:space="0" w:color="auto"/>
          </w:divBdr>
        </w:div>
        <w:div w:id="239021800">
          <w:marLeft w:val="0"/>
          <w:marRight w:val="0"/>
          <w:marTop w:val="0"/>
          <w:marBottom w:val="0"/>
          <w:divBdr>
            <w:top w:val="none" w:sz="0" w:space="0" w:color="auto"/>
            <w:left w:val="none" w:sz="0" w:space="0" w:color="auto"/>
            <w:bottom w:val="none" w:sz="0" w:space="0" w:color="auto"/>
            <w:right w:val="none" w:sz="0" w:space="0" w:color="auto"/>
          </w:divBdr>
        </w:div>
        <w:div w:id="98567978">
          <w:marLeft w:val="0"/>
          <w:marRight w:val="0"/>
          <w:marTop w:val="0"/>
          <w:marBottom w:val="0"/>
          <w:divBdr>
            <w:top w:val="none" w:sz="0" w:space="0" w:color="auto"/>
            <w:left w:val="none" w:sz="0" w:space="0" w:color="auto"/>
            <w:bottom w:val="none" w:sz="0" w:space="0" w:color="auto"/>
            <w:right w:val="none" w:sz="0" w:space="0" w:color="auto"/>
          </w:divBdr>
        </w:div>
        <w:div w:id="1780754842">
          <w:marLeft w:val="0"/>
          <w:marRight w:val="0"/>
          <w:marTop w:val="0"/>
          <w:marBottom w:val="0"/>
          <w:divBdr>
            <w:top w:val="none" w:sz="0" w:space="0" w:color="auto"/>
            <w:left w:val="none" w:sz="0" w:space="0" w:color="auto"/>
            <w:bottom w:val="none" w:sz="0" w:space="0" w:color="auto"/>
            <w:right w:val="none" w:sz="0" w:space="0" w:color="auto"/>
          </w:divBdr>
        </w:div>
        <w:div w:id="118843616">
          <w:marLeft w:val="0"/>
          <w:marRight w:val="0"/>
          <w:marTop w:val="0"/>
          <w:marBottom w:val="0"/>
          <w:divBdr>
            <w:top w:val="none" w:sz="0" w:space="0" w:color="auto"/>
            <w:left w:val="none" w:sz="0" w:space="0" w:color="auto"/>
            <w:bottom w:val="none" w:sz="0" w:space="0" w:color="auto"/>
            <w:right w:val="none" w:sz="0" w:space="0" w:color="auto"/>
          </w:divBdr>
        </w:div>
        <w:div w:id="330181877">
          <w:marLeft w:val="0"/>
          <w:marRight w:val="0"/>
          <w:marTop w:val="0"/>
          <w:marBottom w:val="0"/>
          <w:divBdr>
            <w:top w:val="none" w:sz="0" w:space="0" w:color="auto"/>
            <w:left w:val="none" w:sz="0" w:space="0" w:color="auto"/>
            <w:bottom w:val="none" w:sz="0" w:space="0" w:color="auto"/>
            <w:right w:val="none" w:sz="0" w:space="0" w:color="auto"/>
          </w:divBdr>
        </w:div>
        <w:div w:id="1298757303">
          <w:marLeft w:val="0"/>
          <w:marRight w:val="0"/>
          <w:marTop w:val="0"/>
          <w:marBottom w:val="0"/>
          <w:divBdr>
            <w:top w:val="none" w:sz="0" w:space="0" w:color="auto"/>
            <w:left w:val="none" w:sz="0" w:space="0" w:color="auto"/>
            <w:bottom w:val="none" w:sz="0" w:space="0" w:color="auto"/>
            <w:right w:val="none" w:sz="0" w:space="0" w:color="auto"/>
          </w:divBdr>
        </w:div>
      </w:divsChild>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congress.gov/bill/115th-congress/senate-bill/1141"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afsitsm.service-now.com/ilms/home" TargetMode="External"/><Relationship Id="rId47" Type="http://schemas.openxmlformats.org/officeDocument/2006/relationships/hyperlink" Target="https://www.state.gov/bureau-of-democracy-human-rights-and-labor/programs-and-grant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state.gov/about-us-office-of-the-procurement-executive/" TargetMode="External"/><Relationship Id="rId46"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mailto:DRLWHAGrants@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retrieveECFR?gp=&amp;SID=027fb85899500d580fc71df69d11573a&amp;mc=true&amp;n=pt2.1.200&amp;r=PART&amp;ty=HTML%20-%20ap2.1.200_1521.i" TargetMode="External"/><Relationship Id="rId45" Type="http://schemas.openxmlformats.org/officeDocument/2006/relationships/hyperlink" Target="file:///C:\Users\OKellyCA\AppData\Local\Microsoft\Windows\INetCache\Content.Outlook\ZN6WSCL2\www.grants.gov"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eader" Target="header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www.opm.gov/policy-data-oversight/pay-leave/federal-holiday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mailto:support@grants.gov" TargetMode="External"/><Relationship Id="rId48" Type="http://schemas.openxmlformats.org/officeDocument/2006/relationships/hyperlink" Target="https://www.state.gov/bureaus-offices/under-secretary-for-civilian-security-democracy-and-human-rights/bureau-of-democracy-human-rights-and-labor/" TargetMode="External"/><Relationship Id="rId8" Type="http://schemas.openxmlformats.org/officeDocument/2006/relationships/hyperlink" Target="https://sam.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Pages>
  <Words>11066</Words>
  <Characters>63082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O'Kelly, Chloe A</cp:lastModifiedBy>
  <cp:revision>11</cp:revision>
  <cp:lastPrinted>2018-11-19T16:01:00Z</cp:lastPrinted>
  <dcterms:created xsi:type="dcterms:W3CDTF">2023-02-14T19:14:00Z</dcterms:created>
  <dcterms:modified xsi:type="dcterms:W3CDTF">2023-05-10T20:25:00Z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