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2BA8A" w14:textId="77777777" w:rsidR="00C65D68" w:rsidRPr="00741E45" w:rsidRDefault="00C65D68" w:rsidP="00A83F89">
      <w:pPr>
        <w:tabs>
          <w:tab w:val="center" w:pos="4680"/>
          <w:tab w:val="left" w:pos="4838"/>
          <w:tab w:val="left" w:pos="5443"/>
          <w:tab w:val="left" w:pos="6048"/>
          <w:tab w:val="left" w:pos="6652"/>
          <w:tab w:val="left" w:pos="7257"/>
          <w:tab w:val="left" w:pos="7862"/>
          <w:tab w:val="left" w:pos="8467"/>
          <w:tab w:val="left" w:pos="9072"/>
        </w:tabs>
        <w:rPr>
          <w:b/>
        </w:rPr>
      </w:pPr>
    </w:p>
    <w:p w14:paraId="3B0DB11A" w14:textId="77777777" w:rsidR="00A83F89" w:rsidRPr="00436151" w:rsidRDefault="00A83F89" w:rsidP="00A83F89">
      <w:pPr>
        <w:tabs>
          <w:tab w:val="left" w:pos="-1440"/>
          <w:tab w:val="left" w:pos="4680"/>
        </w:tabs>
        <w:jc w:val="center"/>
        <w:rPr>
          <w:b/>
          <w:bCs/>
          <w:color w:val="000000"/>
          <w:sz w:val="32"/>
          <w:szCs w:val="32"/>
        </w:rPr>
      </w:pPr>
      <w:r w:rsidRPr="00436151">
        <w:rPr>
          <w:b/>
          <w:bCs/>
          <w:color w:val="000000"/>
          <w:sz w:val="32"/>
          <w:szCs w:val="32"/>
        </w:rPr>
        <w:t>SECTION B</w:t>
      </w:r>
    </w:p>
    <w:p w14:paraId="174FF476" w14:textId="77777777" w:rsidR="00A83F89" w:rsidRPr="00436151" w:rsidRDefault="00A83F89" w:rsidP="00A83F89">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right="-557"/>
        <w:jc w:val="center"/>
        <w:rPr>
          <w:rFonts w:eastAsia="Palatino"/>
          <w:b/>
          <w:bCs/>
          <w:color w:val="000000"/>
          <w:sz w:val="28"/>
          <w:szCs w:val="28"/>
          <w:u w:val="single"/>
        </w:rPr>
      </w:pPr>
      <w:r w:rsidRPr="00436151">
        <w:rPr>
          <w:rFonts w:eastAsia="Palatino"/>
          <w:b/>
          <w:bCs/>
          <w:color w:val="000000"/>
          <w:sz w:val="28"/>
          <w:szCs w:val="28"/>
          <w:u w:val="single"/>
        </w:rPr>
        <w:t>STATEMENT OF OBJECTIVES AND PROJECT MANAGEMENT PLAN</w:t>
      </w:r>
    </w:p>
    <w:p w14:paraId="206C09F7" w14:textId="77777777" w:rsidR="0054536F" w:rsidRPr="00044CC2" w:rsidRDefault="0054536F" w:rsidP="006C5F59">
      <w:pPr>
        <w:tabs>
          <w:tab w:val="center" w:pos="4680"/>
          <w:tab w:val="left" w:pos="4838"/>
          <w:tab w:val="left" w:pos="5443"/>
          <w:tab w:val="left" w:pos="6048"/>
          <w:tab w:val="left" w:pos="6652"/>
          <w:tab w:val="left" w:pos="7257"/>
          <w:tab w:val="left" w:pos="7862"/>
          <w:tab w:val="left" w:pos="8467"/>
          <w:tab w:val="left" w:pos="9072"/>
        </w:tabs>
        <w:jc w:val="center"/>
        <w:rPr>
          <w:b/>
        </w:rPr>
      </w:pPr>
    </w:p>
    <w:p w14:paraId="50EDB391" w14:textId="77777777" w:rsidR="0054536F" w:rsidRPr="007030D3" w:rsidRDefault="0054536F" w:rsidP="006C5F59">
      <w:pPr>
        <w:tabs>
          <w:tab w:val="center" w:pos="4680"/>
        </w:tabs>
        <w:jc w:val="both"/>
        <w:rPr>
          <w:color w:val="000000"/>
        </w:rPr>
      </w:pPr>
      <w:r w:rsidRPr="007030D3">
        <w:rPr>
          <w:color w:val="000000"/>
        </w:rPr>
        <w:tab/>
      </w:r>
    </w:p>
    <w:p w14:paraId="4A0E8F60" w14:textId="09F39E80" w:rsidR="0054536F" w:rsidRDefault="00A83F89" w:rsidP="006C5F59">
      <w:pPr>
        <w:rPr>
          <w:b/>
        </w:rPr>
      </w:pPr>
      <w:r>
        <w:rPr>
          <w:b/>
        </w:rPr>
        <w:t>B</w:t>
      </w:r>
      <w:r w:rsidR="0054536F" w:rsidRPr="007030D3">
        <w:rPr>
          <w:b/>
        </w:rPr>
        <w:t>.1</w:t>
      </w:r>
      <w:r w:rsidR="0054536F" w:rsidRPr="007030D3">
        <w:rPr>
          <w:b/>
        </w:rPr>
        <w:tab/>
        <w:t>INTRODUCTION</w:t>
      </w:r>
    </w:p>
    <w:p w14:paraId="2B9F3D94" w14:textId="77777777" w:rsidR="00C256F8" w:rsidRPr="007030D3" w:rsidRDefault="00C256F8" w:rsidP="006C5F59">
      <w:pPr>
        <w:rPr>
          <w:b/>
        </w:rPr>
      </w:pPr>
    </w:p>
    <w:p w14:paraId="170A193B" w14:textId="500A496C" w:rsidR="00C036A4" w:rsidRDefault="00DE3A3B" w:rsidP="00C036A4">
      <w:pPr>
        <w:widowControl/>
        <w:autoSpaceDE w:val="0"/>
        <w:autoSpaceDN w:val="0"/>
        <w:adjustRightInd w:val="0"/>
      </w:pPr>
      <w:r w:rsidRPr="00DE3A3B">
        <w:t xml:space="preserve">The mission of the Bureau of Ocean Energy Management (BOEM) is to manage </w:t>
      </w:r>
      <w:r>
        <w:t xml:space="preserve">the </w:t>
      </w:r>
      <w:r w:rsidRPr="00DE3A3B">
        <w:t xml:space="preserve">development of U.S. Outer Continental Shelf </w:t>
      </w:r>
      <w:r>
        <w:t xml:space="preserve">(OSC) </w:t>
      </w:r>
      <w:r w:rsidRPr="00DE3A3B">
        <w:t>energy and mineral resources in an environmentally and economically responsible way</w:t>
      </w:r>
      <w:r>
        <w:t xml:space="preserve">. </w:t>
      </w:r>
      <w:r w:rsidR="00C036A4">
        <w:t xml:space="preserve">Management of the oil and gas resources of the Outer Continental Shelf (OCS) is governed by the OCS Lands Act (43 U.S. Code [U.S.C.] 1331 et seq.), which sets forth procedures for leasing, exploration, and development and production of those resources. Section 18 of the OCS Lands Act calls for the preparation of a nationwide offshore oil and gas leasing program, setting forth a five-year schedule of lease sales designed to best meet the Nation’s energy needs. </w:t>
      </w:r>
      <w:r>
        <w:t>BOEM</w:t>
      </w:r>
      <w:r w:rsidR="00C036A4">
        <w:t xml:space="preserve"> </w:t>
      </w:r>
      <w:r w:rsidR="00BF7644">
        <w:t xml:space="preserve">and the </w:t>
      </w:r>
      <w:r w:rsidR="00BF7644" w:rsidRPr="00C036A4">
        <w:t>Bureau of Safety and Environmental Enforcement (BSEE)</w:t>
      </w:r>
      <w:r w:rsidR="00BF7644">
        <w:t xml:space="preserve"> </w:t>
      </w:r>
      <w:r w:rsidR="00C036A4">
        <w:t>within the U.S. Depar</w:t>
      </w:r>
      <w:r w:rsidR="00C256F8">
        <w:t>tment of the Interior (USDOI) are</w:t>
      </w:r>
      <w:r w:rsidR="00C036A4">
        <w:t xml:space="preserve"> responsible for implementing the</w:t>
      </w:r>
      <w:r w:rsidR="00C256F8">
        <w:t xml:space="preserve"> </w:t>
      </w:r>
      <w:r w:rsidR="00C036A4">
        <w:t>requirements of the OCS Lands Act related</w:t>
      </w:r>
      <w:r w:rsidR="00C83865" w:rsidRPr="00C83865">
        <w:t xml:space="preserve"> to OCS oil </w:t>
      </w:r>
      <w:r w:rsidR="00953D79">
        <w:t xml:space="preserve">and gas </w:t>
      </w:r>
      <w:r w:rsidR="00C83865" w:rsidRPr="00C83865">
        <w:t>exploration and development</w:t>
      </w:r>
      <w:r w:rsidR="00C83865">
        <w:t>.</w:t>
      </w:r>
    </w:p>
    <w:p w14:paraId="0E188771" w14:textId="77777777" w:rsidR="00512527" w:rsidRDefault="00512527" w:rsidP="00512527">
      <w:pPr>
        <w:widowControl/>
        <w:autoSpaceDE w:val="0"/>
        <w:autoSpaceDN w:val="0"/>
        <w:adjustRightInd w:val="0"/>
        <w:rPr>
          <w:rFonts w:ascii="TimesNewRomanPSMT" w:eastAsia="Calibri" w:hAnsi="TimesNewRomanPSMT" w:cs="TimesNewRomanPSMT"/>
          <w:color w:val="000000"/>
          <w:szCs w:val="24"/>
          <w:highlight w:val="yellow"/>
        </w:rPr>
      </w:pPr>
    </w:p>
    <w:p w14:paraId="5E10BEFC" w14:textId="213090D0" w:rsidR="0054536F" w:rsidRPr="00C036A4" w:rsidRDefault="007F2E6F" w:rsidP="00512527">
      <w:pPr>
        <w:widowControl/>
        <w:autoSpaceDE w:val="0"/>
        <w:autoSpaceDN w:val="0"/>
        <w:adjustRightInd w:val="0"/>
      </w:pPr>
      <w:r>
        <w:rPr>
          <w:rFonts w:ascii="TimesNewRomanPSMT" w:eastAsia="Calibri" w:hAnsi="TimesNewRomanPSMT" w:cs="TimesNewRomanPSMT"/>
          <w:color w:val="000000"/>
          <w:szCs w:val="24"/>
        </w:rPr>
        <w:t>M</w:t>
      </w:r>
      <w:r w:rsidRPr="00C036A4">
        <w:rPr>
          <w:rFonts w:ascii="TimesNewRomanPSMT" w:eastAsia="Calibri" w:hAnsi="TimesNewRomanPSMT" w:cs="TimesNewRomanPSMT"/>
          <w:color w:val="000000"/>
          <w:szCs w:val="24"/>
        </w:rPr>
        <w:t>anagement</w:t>
      </w:r>
      <w:r>
        <w:rPr>
          <w:rFonts w:ascii="TimesNewRomanPSMT" w:eastAsia="Calibri" w:hAnsi="TimesNewRomanPSMT" w:cs="TimesNewRomanPSMT"/>
          <w:color w:val="000000"/>
          <w:szCs w:val="24"/>
        </w:rPr>
        <w:t xml:space="preserve"> of OCS oil and gas</w:t>
      </w:r>
      <w:r w:rsidRPr="00C036A4">
        <w:rPr>
          <w:rFonts w:ascii="TimesNewRomanPSMT" w:eastAsia="Calibri" w:hAnsi="TimesNewRomanPSMT" w:cs="TimesNewRomanPSMT"/>
          <w:color w:val="000000"/>
          <w:szCs w:val="24"/>
        </w:rPr>
        <w:t xml:space="preserve"> </w:t>
      </w:r>
      <w:r w:rsidR="006D634D" w:rsidRPr="00C036A4">
        <w:rPr>
          <w:rFonts w:ascii="TimesNewRomanPSMT" w:eastAsia="Calibri" w:hAnsi="TimesNewRomanPSMT" w:cs="TimesNewRomanPSMT"/>
          <w:color w:val="000000"/>
          <w:szCs w:val="24"/>
        </w:rPr>
        <w:t>include</w:t>
      </w:r>
      <w:r w:rsidR="00C036A4" w:rsidRPr="00C036A4">
        <w:rPr>
          <w:rFonts w:ascii="TimesNewRomanPSMT" w:eastAsia="Calibri" w:hAnsi="TimesNewRomanPSMT" w:cs="TimesNewRomanPSMT"/>
          <w:color w:val="000000"/>
          <w:szCs w:val="24"/>
        </w:rPr>
        <w:t>s</w:t>
      </w:r>
      <w:r w:rsidR="006D634D" w:rsidRPr="00C036A4">
        <w:rPr>
          <w:rFonts w:ascii="TimesNewRomanPSMT" w:eastAsia="Calibri" w:hAnsi="TimesNewRomanPSMT" w:cs="TimesNewRomanPSMT"/>
          <w:color w:val="000000"/>
          <w:szCs w:val="24"/>
        </w:rPr>
        <w:t xml:space="preserve"> offshore leasing, resource evaluation, review and administration of plans for oil and gas exploration, development, production</w:t>
      </w:r>
      <w:r w:rsidR="007E12D2" w:rsidRPr="007E12D2">
        <w:rPr>
          <w:rFonts w:ascii="TimesNewRomanPSMT" w:eastAsia="Calibri" w:hAnsi="TimesNewRomanPSMT" w:cs="TimesNewRomanPSMT"/>
          <w:color w:val="000000"/>
          <w:szCs w:val="24"/>
        </w:rPr>
        <w:t xml:space="preserve"> </w:t>
      </w:r>
      <w:r w:rsidR="007E12D2" w:rsidRPr="00C036A4">
        <w:rPr>
          <w:rFonts w:ascii="TimesNewRomanPSMT" w:eastAsia="Calibri" w:hAnsi="TimesNewRomanPSMT" w:cs="TimesNewRomanPSMT"/>
          <w:color w:val="000000"/>
          <w:szCs w:val="24"/>
        </w:rPr>
        <w:t>and</w:t>
      </w:r>
      <w:r w:rsidR="007E12D2">
        <w:rPr>
          <w:rFonts w:ascii="TimesNewRomanPSMT" w:eastAsia="Calibri" w:hAnsi="TimesNewRomanPSMT" w:cs="TimesNewRomanPSMT"/>
          <w:color w:val="000000"/>
          <w:szCs w:val="24"/>
        </w:rPr>
        <w:t xml:space="preserve"> </w:t>
      </w:r>
      <w:r w:rsidR="00B71419">
        <w:rPr>
          <w:rFonts w:ascii="TimesNewRomanPSMT" w:eastAsia="Calibri" w:hAnsi="TimesNewRomanPSMT" w:cs="TimesNewRomanPSMT"/>
          <w:color w:val="000000"/>
          <w:szCs w:val="24"/>
        </w:rPr>
        <w:t>decommissioning</w:t>
      </w:r>
      <w:r w:rsidR="00C036A4" w:rsidRPr="00C036A4">
        <w:rPr>
          <w:rFonts w:ascii="TimesNewRomanPSMT" w:eastAsia="Calibri" w:hAnsi="TimesNewRomanPSMT" w:cs="TimesNewRomanPSMT"/>
          <w:color w:val="000000"/>
          <w:szCs w:val="24"/>
        </w:rPr>
        <w:t xml:space="preserve">, </w:t>
      </w:r>
      <w:r w:rsidR="00C036A4" w:rsidRPr="00C036A4">
        <w:t xml:space="preserve">National Environmental Policy Act </w:t>
      </w:r>
      <w:r w:rsidR="00C036A4">
        <w:t>(</w:t>
      </w:r>
      <w:r w:rsidR="006D634D" w:rsidRPr="00C036A4">
        <w:rPr>
          <w:rFonts w:ascii="TimesNewRomanPSMT" w:eastAsia="Calibri" w:hAnsi="TimesNewRomanPSMT" w:cs="TimesNewRomanPSMT"/>
          <w:color w:val="000000"/>
          <w:szCs w:val="24"/>
        </w:rPr>
        <w:t>NEPA</w:t>
      </w:r>
      <w:r w:rsidR="00C036A4">
        <w:rPr>
          <w:rFonts w:ascii="TimesNewRomanPSMT" w:eastAsia="Calibri" w:hAnsi="TimesNewRomanPSMT" w:cs="TimesNewRomanPSMT"/>
          <w:color w:val="000000"/>
          <w:szCs w:val="24"/>
        </w:rPr>
        <w:t>) analyse</w:t>
      </w:r>
      <w:r w:rsidR="006D634D" w:rsidRPr="00C036A4">
        <w:rPr>
          <w:rFonts w:ascii="TimesNewRomanPSMT" w:eastAsia="Calibri" w:hAnsi="TimesNewRomanPSMT" w:cs="TimesNewRomanPSMT"/>
          <w:color w:val="000000"/>
          <w:szCs w:val="24"/>
        </w:rPr>
        <w:t>s, and environmental studies (</w:t>
      </w:r>
      <w:hyperlink r:id="rId7" w:history="1">
        <w:r w:rsidR="006D634D" w:rsidRPr="00C036A4">
          <w:rPr>
            <w:rStyle w:val="Hyperlink"/>
            <w:rFonts w:ascii="TimesNewRomanPSMT" w:eastAsia="Calibri" w:hAnsi="TimesNewRomanPSMT" w:cs="TimesNewRomanPSMT"/>
            <w:szCs w:val="24"/>
          </w:rPr>
          <w:t>http://www.boem.gov/</w:t>
        </w:r>
      </w:hyperlink>
      <w:r w:rsidR="006D634D" w:rsidRPr="00C036A4">
        <w:rPr>
          <w:rFonts w:ascii="TimesNewRomanPSMT" w:eastAsia="Calibri" w:hAnsi="TimesNewRomanPSMT" w:cs="TimesNewRomanPSMT"/>
          <w:color w:val="0000FF"/>
          <w:szCs w:val="24"/>
        </w:rPr>
        <w:t>).</w:t>
      </w:r>
      <w:r w:rsidR="006D634D" w:rsidRPr="00C036A4">
        <w:rPr>
          <w:color w:val="0000FF"/>
        </w:rPr>
        <w:t xml:space="preserve"> </w:t>
      </w:r>
      <w:r w:rsidR="00DE0D9F" w:rsidRPr="00DE0D9F">
        <w:t>One aspect of these responsibilities is assessment of potential environmental effects of an OCS oil and gas program, including accidental events. In order to complete such assessments, BOEM requires an understanding of oil spill probabilities, including spill sizes, frequency, and location. BOEM also conducts modeling of oil-spill trajectories to identify areas that may be impacted by a spill, should a spill occur in a given area (e.g., Ji and Schiff 2023). The oil-spill modeling outputs are used to help inform analyses of potential effects resulting from a proposed action for NEPA and consultations with other federal agencies.</w:t>
      </w:r>
    </w:p>
    <w:p w14:paraId="0ECC167C" w14:textId="77777777" w:rsidR="00902037" w:rsidRPr="00902037" w:rsidRDefault="00902037" w:rsidP="00902037">
      <w:pPr>
        <w:rPr>
          <w:color w:val="222222"/>
          <w:szCs w:val="24"/>
        </w:rPr>
      </w:pPr>
    </w:p>
    <w:p w14:paraId="278735AC" w14:textId="37F0C710" w:rsidR="00552E33" w:rsidRDefault="00ED791D" w:rsidP="00552E33">
      <w:pPr>
        <w:rPr>
          <w:color w:val="222222"/>
          <w:szCs w:val="24"/>
        </w:rPr>
      </w:pPr>
      <w:r>
        <w:rPr>
          <w:color w:val="222222"/>
          <w:szCs w:val="24"/>
        </w:rPr>
        <w:t>National s</w:t>
      </w:r>
      <w:r w:rsidRPr="00902037">
        <w:rPr>
          <w:color w:val="222222"/>
          <w:szCs w:val="24"/>
        </w:rPr>
        <w:t xml:space="preserve">pill </w:t>
      </w:r>
      <w:r w:rsidR="00902037" w:rsidRPr="00902037">
        <w:rPr>
          <w:color w:val="222222"/>
          <w:szCs w:val="24"/>
        </w:rPr>
        <w:t xml:space="preserve">occurrence rates were last </w:t>
      </w:r>
      <w:r w:rsidR="00B019C7">
        <w:rPr>
          <w:color w:val="222222"/>
          <w:szCs w:val="24"/>
        </w:rPr>
        <w:t>updated</w:t>
      </w:r>
      <w:r w:rsidR="00B019C7" w:rsidRPr="00902037">
        <w:rPr>
          <w:color w:val="222222"/>
          <w:szCs w:val="24"/>
        </w:rPr>
        <w:t xml:space="preserve"> </w:t>
      </w:r>
      <w:r w:rsidR="00902037" w:rsidRPr="00902037">
        <w:rPr>
          <w:color w:val="222222"/>
          <w:szCs w:val="24"/>
        </w:rPr>
        <w:t>in 201</w:t>
      </w:r>
      <w:r w:rsidR="00BF7644">
        <w:rPr>
          <w:color w:val="222222"/>
          <w:szCs w:val="24"/>
        </w:rPr>
        <w:t>6</w:t>
      </w:r>
      <w:r w:rsidR="00902037" w:rsidRPr="00902037">
        <w:rPr>
          <w:color w:val="222222"/>
          <w:szCs w:val="24"/>
        </w:rPr>
        <w:t xml:space="preserve"> (</w:t>
      </w:r>
      <w:r w:rsidR="00BF7644">
        <w:rPr>
          <w:color w:val="222222"/>
          <w:szCs w:val="24"/>
        </w:rPr>
        <w:t>ABS</w:t>
      </w:r>
      <w:r w:rsidR="005105FC">
        <w:rPr>
          <w:color w:val="222222"/>
          <w:szCs w:val="24"/>
        </w:rPr>
        <w:t xml:space="preserve"> </w:t>
      </w:r>
      <w:r w:rsidR="00BF7644">
        <w:rPr>
          <w:color w:val="222222"/>
          <w:szCs w:val="24"/>
        </w:rPr>
        <w:t>2016</w:t>
      </w:r>
      <w:r w:rsidR="00902037" w:rsidRPr="00902037">
        <w:rPr>
          <w:color w:val="222222"/>
          <w:szCs w:val="24"/>
        </w:rPr>
        <w:t>). The 201</w:t>
      </w:r>
      <w:r w:rsidR="00BF7644">
        <w:rPr>
          <w:color w:val="222222"/>
          <w:szCs w:val="24"/>
        </w:rPr>
        <w:t>6</w:t>
      </w:r>
      <w:r w:rsidR="00902037" w:rsidRPr="00902037">
        <w:rPr>
          <w:color w:val="222222"/>
          <w:szCs w:val="24"/>
        </w:rPr>
        <w:t xml:space="preserve"> data compilation and analysis </w:t>
      </w:r>
      <w:r w:rsidR="00B019C7" w:rsidRPr="00902037">
        <w:rPr>
          <w:color w:val="222222"/>
          <w:szCs w:val="24"/>
        </w:rPr>
        <w:t xml:space="preserve">compare </w:t>
      </w:r>
      <w:r w:rsidR="00902037" w:rsidRPr="00902037">
        <w:rPr>
          <w:color w:val="222222"/>
          <w:szCs w:val="24"/>
        </w:rPr>
        <w:t xml:space="preserve">OCS spill data </w:t>
      </w:r>
      <w:r w:rsidR="005105FC">
        <w:rPr>
          <w:color w:val="222222"/>
          <w:szCs w:val="24"/>
        </w:rPr>
        <w:t>from</w:t>
      </w:r>
      <w:r w:rsidR="00902037" w:rsidRPr="00902037">
        <w:rPr>
          <w:color w:val="222222"/>
          <w:szCs w:val="24"/>
        </w:rPr>
        <w:t>1964 through 201</w:t>
      </w:r>
      <w:r w:rsidR="00BF7644">
        <w:rPr>
          <w:color w:val="222222"/>
          <w:szCs w:val="24"/>
        </w:rPr>
        <w:t>5</w:t>
      </w:r>
      <w:r w:rsidR="005105FC">
        <w:rPr>
          <w:color w:val="222222"/>
          <w:szCs w:val="24"/>
        </w:rPr>
        <w:t xml:space="preserve">. </w:t>
      </w:r>
      <w:r w:rsidR="00B019C7">
        <w:rPr>
          <w:color w:val="222222"/>
          <w:szCs w:val="24"/>
        </w:rPr>
        <w:t>Different types of spills</w:t>
      </w:r>
      <w:r w:rsidR="00E43E3E">
        <w:rPr>
          <w:color w:val="222222"/>
          <w:szCs w:val="24"/>
        </w:rPr>
        <w:t xml:space="preserve"> (</w:t>
      </w:r>
      <w:r w:rsidR="00DE3A3B" w:rsidRPr="005E0648">
        <w:rPr>
          <w:i/>
          <w:color w:val="222222"/>
          <w:szCs w:val="24"/>
        </w:rPr>
        <w:t>i.e.</w:t>
      </w:r>
      <w:r w:rsidR="00E43E3E">
        <w:rPr>
          <w:color w:val="222222"/>
          <w:szCs w:val="24"/>
        </w:rPr>
        <w:t xml:space="preserve"> platform and pipeline; petroleum-based and crude only)</w:t>
      </w:r>
      <w:r w:rsidR="00B019C7">
        <w:rPr>
          <w:color w:val="222222"/>
          <w:szCs w:val="24"/>
        </w:rPr>
        <w:t>, spill size classes, intervals of time</w:t>
      </w:r>
      <w:r w:rsidR="00EE1C26">
        <w:rPr>
          <w:color w:val="222222"/>
          <w:szCs w:val="24"/>
        </w:rPr>
        <w:t>, and casual factors</w:t>
      </w:r>
      <w:r w:rsidR="00B019C7">
        <w:rPr>
          <w:color w:val="222222"/>
          <w:szCs w:val="24"/>
        </w:rPr>
        <w:t xml:space="preserve"> are considered. </w:t>
      </w:r>
      <w:r w:rsidR="00902037" w:rsidRPr="00902037">
        <w:rPr>
          <w:color w:val="222222"/>
          <w:szCs w:val="24"/>
        </w:rPr>
        <w:t xml:space="preserve">Spill rates were </w:t>
      </w:r>
      <w:r w:rsidR="00EE1C26">
        <w:rPr>
          <w:color w:val="222222"/>
          <w:szCs w:val="24"/>
        </w:rPr>
        <w:t>determined</w:t>
      </w:r>
      <w:r w:rsidR="00EE1C26" w:rsidRPr="00902037">
        <w:rPr>
          <w:color w:val="222222"/>
          <w:szCs w:val="24"/>
        </w:rPr>
        <w:t xml:space="preserve"> </w:t>
      </w:r>
      <w:r w:rsidR="00902037" w:rsidRPr="00902037">
        <w:rPr>
          <w:color w:val="222222"/>
          <w:szCs w:val="24"/>
        </w:rPr>
        <w:t xml:space="preserve">in terms of the volume of oil produced or handled. </w:t>
      </w:r>
      <w:r w:rsidR="00E157C5">
        <w:rPr>
          <w:color w:val="222222"/>
          <w:szCs w:val="24"/>
        </w:rPr>
        <w:t>A</w:t>
      </w:r>
      <w:r w:rsidR="00E157C5" w:rsidRPr="00E157C5">
        <w:rPr>
          <w:color w:val="222222"/>
          <w:szCs w:val="24"/>
        </w:rPr>
        <w:t>dditional OCS oil spill data were collated for fault tree analyses in the Arctic and the Atlantic</w:t>
      </w:r>
      <w:r w:rsidR="00E157C5">
        <w:rPr>
          <w:color w:val="222222"/>
          <w:szCs w:val="24"/>
        </w:rPr>
        <w:t xml:space="preserve"> (Myers et al. 2018)</w:t>
      </w:r>
      <w:r w:rsidR="00E157C5" w:rsidRPr="00E157C5">
        <w:rPr>
          <w:color w:val="222222"/>
          <w:szCs w:val="24"/>
        </w:rPr>
        <w:t>.</w:t>
      </w:r>
      <w:r w:rsidR="00E157C5">
        <w:rPr>
          <w:color w:val="222222"/>
          <w:szCs w:val="24"/>
        </w:rPr>
        <w:t xml:space="preserve"> </w:t>
      </w:r>
      <w:proofErr w:type="spellStart"/>
      <w:r w:rsidR="00E157C5" w:rsidRPr="00E157C5">
        <w:rPr>
          <w:color w:val="222222"/>
          <w:szCs w:val="24"/>
        </w:rPr>
        <w:t>Stalfort</w:t>
      </w:r>
      <w:proofErr w:type="spellEnd"/>
      <w:r w:rsidR="00E157C5" w:rsidRPr="00E157C5">
        <w:rPr>
          <w:color w:val="222222"/>
          <w:szCs w:val="24"/>
        </w:rPr>
        <w:t xml:space="preserve"> et al. </w:t>
      </w:r>
      <w:r w:rsidR="00E157C5">
        <w:rPr>
          <w:color w:val="222222"/>
          <w:szCs w:val="24"/>
        </w:rPr>
        <w:t>(</w:t>
      </w:r>
      <w:r w:rsidR="00E157C5" w:rsidRPr="00E157C5">
        <w:rPr>
          <w:color w:val="222222"/>
          <w:szCs w:val="24"/>
        </w:rPr>
        <w:t>20</w:t>
      </w:r>
      <w:r w:rsidR="00E157C5">
        <w:rPr>
          <w:color w:val="222222"/>
          <w:szCs w:val="24"/>
        </w:rPr>
        <w:t xml:space="preserve">21) </w:t>
      </w:r>
      <w:r w:rsidR="00E157C5" w:rsidRPr="00E157C5">
        <w:rPr>
          <w:color w:val="222222"/>
          <w:szCs w:val="24"/>
        </w:rPr>
        <w:t xml:space="preserve">generated statistics for oil spills in the US GOM OCS from 1974 to 2019, quantified spill occurrence rates for an extreme case using the </w:t>
      </w:r>
      <w:r w:rsidR="00E157C5">
        <w:rPr>
          <w:color w:val="222222"/>
          <w:szCs w:val="24"/>
        </w:rPr>
        <w:t>e</w:t>
      </w:r>
      <w:r w:rsidR="00E157C5" w:rsidRPr="00E157C5">
        <w:rPr>
          <w:color w:val="222222"/>
          <w:szCs w:val="24"/>
        </w:rPr>
        <w:t xml:space="preserve">xtreme </w:t>
      </w:r>
      <w:r w:rsidR="00E157C5">
        <w:rPr>
          <w:color w:val="222222"/>
          <w:szCs w:val="24"/>
        </w:rPr>
        <w:t>v</w:t>
      </w:r>
      <w:r w:rsidR="00E157C5" w:rsidRPr="00E157C5">
        <w:rPr>
          <w:color w:val="222222"/>
          <w:szCs w:val="24"/>
        </w:rPr>
        <w:t xml:space="preserve">alue </w:t>
      </w:r>
      <w:r w:rsidR="00E157C5">
        <w:rPr>
          <w:color w:val="222222"/>
          <w:szCs w:val="24"/>
        </w:rPr>
        <w:t>a</w:t>
      </w:r>
      <w:r w:rsidR="00E157C5" w:rsidRPr="00E157C5">
        <w:rPr>
          <w:color w:val="222222"/>
          <w:szCs w:val="24"/>
        </w:rPr>
        <w:t xml:space="preserve">nalysis and </w:t>
      </w:r>
      <w:r w:rsidR="00E157C5">
        <w:rPr>
          <w:color w:val="222222"/>
          <w:szCs w:val="24"/>
        </w:rPr>
        <w:t>p</w:t>
      </w:r>
      <w:r w:rsidR="00E157C5" w:rsidRPr="00E157C5">
        <w:rPr>
          <w:color w:val="222222"/>
          <w:szCs w:val="24"/>
        </w:rPr>
        <w:t xml:space="preserve">ower </w:t>
      </w:r>
      <w:r w:rsidR="00E157C5">
        <w:rPr>
          <w:color w:val="222222"/>
          <w:szCs w:val="24"/>
        </w:rPr>
        <w:t>l</w:t>
      </w:r>
      <w:r w:rsidR="00E157C5" w:rsidRPr="00E157C5">
        <w:rPr>
          <w:color w:val="222222"/>
          <w:szCs w:val="24"/>
        </w:rPr>
        <w:t xml:space="preserve">aw </w:t>
      </w:r>
      <w:r w:rsidR="00E157C5">
        <w:rPr>
          <w:color w:val="222222"/>
          <w:szCs w:val="24"/>
        </w:rPr>
        <w:t>a</w:t>
      </w:r>
      <w:r w:rsidR="00E157C5" w:rsidRPr="00E157C5">
        <w:rPr>
          <w:color w:val="222222"/>
          <w:szCs w:val="24"/>
        </w:rPr>
        <w:t>nalysis, and developed a spill rate methodology to compute occurrence rates for the Atlantic OCS region.</w:t>
      </w:r>
      <w:r w:rsidR="00E157C5">
        <w:rPr>
          <w:color w:val="222222"/>
          <w:szCs w:val="24"/>
        </w:rPr>
        <w:t xml:space="preserve"> </w:t>
      </w:r>
      <w:r w:rsidR="00902037" w:rsidRPr="00902037">
        <w:rPr>
          <w:color w:val="222222"/>
          <w:szCs w:val="24"/>
        </w:rPr>
        <w:t xml:space="preserve">BOEM </w:t>
      </w:r>
      <w:r w:rsidR="005105FC">
        <w:rPr>
          <w:color w:val="222222"/>
          <w:szCs w:val="24"/>
        </w:rPr>
        <w:t>is</w:t>
      </w:r>
      <w:r w:rsidR="00902037" w:rsidRPr="00902037">
        <w:rPr>
          <w:color w:val="222222"/>
          <w:szCs w:val="24"/>
        </w:rPr>
        <w:t xml:space="preserve"> proposing to update </w:t>
      </w:r>
      <w:r w:rsidR="00DE3A3B">
        <w:rPr>
          <w:color w:val="222222"/>
          <w:szCs w:val="24"/>
        </w:rPr>
        <w:t xml:space="preserve">the </w:t>
      </w:r>
      <w:r w:rsidR="00902037" w:rsidRPr="00902037">
        <w:rPr>
          <w:color w:val="222222"/>
          <w:szCs w:val="24"/>
        </w:rPr>
        <w:t>OCS spill data and spill rate analyses through calendar year 20</w:t>
      </w:r>
      <w:r w:rsidR="005105FC">
        <w:rPr>
          <w:color w:val="222222"/>
          <w:szCs w:val="24"/>
        </w:rPr>
        <w:t>24</w:t>
      </w:r>
      <w:r w:rsidR="00763508">
        <w:rPr>
          <w:color w:val="222222"/>
          <w:szCs w:val="24"/>
        </w:rPr>
        <w:t xml:space="preserve"> (1964</w:t>
      </w:r>
      <w:r w:rsidR="008615AC">
        <w:rPr>
          <w:color w:val="222222"/>
          <w:szCs w:val="24"/>
        </w:rPr>
        <w:t>–</w:t>
      </w:r>
      <w:r w:rsidR="00763508">
        <w:rPr>
          <w:color w:val="222222"/>
          <w:szCs w:val="24"/>
        </w:rPr>
        <w:t>20</w:t>
      </w:r>
      <w:r w:rsidR="005105FC">
        <w:rPr>
          <w:color w:val="222222"/>
          <w:szCs w:val="24"/>
        </w:rPr>
        <w:t>24</w:t>
      </w:r>
      <w:r w:rsidR="00763508">
        <w:rPr>
          <w:color w:val="222222"/>
          <w:szCs w:val="24"/>
        </w:rPr>
        <w:t>)</w:t>
      </w:r>
      <w:r w:rsidR="00902037" w:rsidRPr="00902037">
        <w:rPr>
          <w:color w:val="222222"/>
          <w:szCs w:val="24"/>
        </w:rPr>
        <w:t>.</w:t>
      </w:r>
      <w:r w:rsidR="00A944C2">
        <w:rPr>
          <w:color w:val="222222"/>
          <w:szCs w:val="24"/>
        </w:rPr>
        <w:t xml:space="preserve"> </w:t>
      </w:r>
      <w:r w:rsidR="00A944C2" w:rsidRPr="00A944C2">
        <w:rPr>
          <w:color w:val="222222"/>
          <w:szCs w:val="24"/>
        </w:rPr>
        <w:t>Additionally, BOEM is interested in looking at what factors have caused oil spills over time and identifying trends within the oil spill data.</w:t>
      </w:r>
    </w:p>
    <w:p w14:paraId="7FFED5AA" w14:textId="77777777" w:rsidR="00552E33" w:rsidRPr="00552E33" w:rsidRDefault="00552E33" w:rsidP="00552E33">
      <w:pPr>
        <w:rPr>
          <w:color w:val="222222"/>
          <w:szCs w:val="24"/>
        </w:rPr>
      </w:pPr>
    </w:p>
    <w:p w14:paraId="2D014A03" w14:textId="1FB0C6F3" w:rsidR="00552E33" w:rsidRPr="0084145B" w:rsidRDefault="00A944C2" w:rsidP="00552E33">
      <w:r w:rsidRPr="00A944C2">
        <w:rPr>
          <w:color w:val="222222"/>
          <w:szCs w:val="24"/>
        </w:rPr>
        <w:t>Artificial intelligence (AI) has been increasingly applied to statistics in risk analysis (</w:t>
      </w:r>
      <w:r w:rsidR="00DE3A3B">
        <w:rPr>
          <w:color w:val="222222"/>
          <w:szCs w:val="24"/>
        </w:rPr>
        <w:t xml:space="preserve">e.g., </w:t>
      </w:r>
      <w:r w:rsidRPr="00A944C2">
        <w:rPr>
          <w:color w:val="222222"/>
          <w:szCs w:val="24"/>
        </w:rPr>
        <w:t xml:space="preserve">Norvig and Russell 2021; Aziz and Dowling 2019) and can be a powerful tool in the domain of oil spill management (De Kerf et al. 2020; </w:t>
      </w:r>
      <w:proofErr w:type="spellStart"/>
      <w:r w:rsidRPr="00A944C2">
        <w:rPr>
          <w:color w:val="222222"/>
          <w:szCs w:val="24"/>
        </w:rPr>
        <w:t>Mohammadiun</w:t>
      </w:r>
      <w:proofErr w:type="spellEnd"/>
      <w:r w:rsidRPr="00A944C2">
        <w:rPr>
          <w:color w:val="222222"/>
          <w:szCs w:val="24"/>
        </w:rPr>
        <w:t xml:space="preserve"> 2023). AI algorithms can be used to analyze </w:t>
      </w:r>
      <w:r w:rsidRPr="00A944C2">
        <w:rPr>
          <w:color w:val="222222"/>
          <w:szCs w:val="24"/>
        </w:rPr>
        <w:lastRenderedPageBreak/>
        <w:t xml:space="preserve">historical data on accidental oil spills; environmental conditions; vessel traffic patterns; exploration, development, and production trends; and other relevant factors to estimate the likelihood and potential impact of oil spills. </w:t>
      </w:r>
      <w:r w:rsidR="00552E33" w:rsidRPr="00552E33">
        <w:rPr>
          <w:color w:val="222222"/>
          <w:szCs w:val="24"/>
        </w:rPr>
        <w:t>Machine learning models such as random forests, support vector machines, or neural networks can be trained on large datasets to identify potential exposure variables, casual factors, and patterns of oil spill risks</w:t>
      </w:r>
      <w:r w:rsidR="00887B3D">
        <w:rPr>
          <w:color w:val="222222"/>
          <w:szCs w:val="24"/>
        </w:rPr>
        <w:t xml:space="preserve"> (</w:t>
      </w:r>
      <w:r w:rsidR="00887B3D" w:rsidRPr="00726135">
        <w:rPr>
          <w:bCs/>
        </w:rPr>
        <w:t>Haupt</w:t>
      </w:r>
      <w:r w:rsidR="00887B3D">
        <w:rPr>
          <w:bCs/>
        </w:rPr>
        <w:t xml:space="preserve"> 2008</w:t>
      </w:r>
      <w:r w:rsidR="00887B3D">
        <w:rPr>
          <w:color w:val="222222"/>
          <w:szCs w:val="24"/>
        </w:rPr>
        <w:t>)</w:t>
      </w:r>
      <w:r w:rsidR="00552E33" w:rsidRPr="00552E33">
        <w:rPr>
          <w:color w:val="222222"/>
          <w:szCs w:val="24"/>
        </w:rPr>
        <w:t xml:space="preserve">. </w:t>
      </w:r>
      <w:r w:rsidR="000850A1">
        <w:t xml:space="preserve">Deep neural networks can be used to process complex oil spill data to identify oil spill patterns with greater accuracy. </w:t>
      </w:r>
      <w:r w:rsidR="00552E33" w:rsidRPr="00552E33">
        <w:rPr>
          <w:color w:val="222222"/>
          <w:szCs w:val="24"/>
        </w:rPr>
        <w:t>AI has the potential to revolutionize oil spill risk analysis</w:t>
      </w:r>
      <w:r w:rsidR="00596813">
        <w:rPr>
          <w:color w:val="222222"/>
          <w:szCs w:val="24"/>
        </w:rPr>
        <w:t xml:space="preserve"> and o</w:t>
      </w:r>
      <w:r w:rsidR="00596813" w:rsidRPr="00596813">
        <w:rPr>
          <w:color w:val="222222"/>
          <w:szCs w:val="24"/>
        </w:rPr>
        <w:t xml:space="preserve">ffshore </w:t>
      </w:r>
      <w:r w:rsidR="00596813">
        <w:rPr>
          <w:color w:val="222222"/>
          <w:szCs w:val="24"/>
        </w:rPr>
        <w:t>e</w:t>
      </w:r>
      <w:r w:rsidR="00596813" w:rsidRPr="00596813">
        <w:rPr>
          <w:color w:val="222222"/>
          <w:szCs w:val="24"/>
        </w:rPr>
        <w:t xml:space="preserve">nvironmental </w:t>
      </w:r>
      <w:r w:rsidR="00596813">
        <w:rPr>
          <w:color w:val="222222"/>
          <w:szCs w:val="24"/>
        </w:rPr>
        <w:t>c</w:t>
      </w:r>
      <w:r w:rsidR="00596813" w:rsidRPr="00596813">
        <w:rPr>
          <w:color w:val="222222"/>
          <w:szCs w:val="24"/>
        </w:rPr>
        <w:t xml:space="preserve">ost </w:t>
      </w:r>
      <w:r w:rsidR="00596813">
        <w:rPr>
          <w:color w:val="222222"/>
          <w:szCs w:val="24"/>
        </w:rPr>
        <w:t>analysis,</w:t>
      </w:r>
      <w:r w:rsidR="00596813" w:rsidRPr="00596813">
        <w:rPr>
          <w:color w:val="222222"/>
          <w:szCs w:val="24"/>
        </w:rPr>
        <w:t xml:space="preserve"> </w:t>
      </w:r>
      <w:r w:rsidR="00552E33" w:rsidRPr="00552E33">
        <w:rPr>
          <w:color w:val="222222"/>
          <w:szCs w:val="24"/>
        </w:rPr>
        <w:t xml:space="preserve">leading to improved preparedness, faster </w:t>
      </w:r>
      <w:r w:rsidR="00F64AAA">
        <w:rPr>
          <w:color w:val="222222"/>
          <w:szCs w:val="24"/>
        </w:rPr>
        <w:t xml:space="preserve">and more effective oil spill </w:t>
      </w:r>
      <w:r w:rsidR="00552E33" w:rsidRPr="00552E33">
        <w:rPr>
          <w:color w:val="222222"/>
          <w:szCs w:val="24"/>
        </w:rPr>
        <w:t>response,</w:t>
      </w:r>
      <w:r w:rsidR="00F64AAA">
        <w:rPr>
          <w:color w:val="222222"/>
          <w:szCs w:val="24"/>
        </w:rPr>
        <w:t xml:space="preserve"> </w:t>
      </w:r>
      <w:r w:rsidR="00552E33" w:rsidRPr="00552E33">
        <w:rPr>
          <w:color w:val="222222"/>
          <w:szCs w:val="24"/>
        </w:rPr>
        <w:t>and minimized environmental and financial damage.</w:t>
      </w:r>
      <w:r w:rsidR="0084145B">
        <w:rPr>
          <w:color w:val="222222"/>
          <w:szCs w:val="24"/>
        </w:rPr>
        <w:t xml:space="preserve"> </w:t>
      </w:r>
    </w:p>
    <w:p w14:paraId="5013840E" w14:textId="77777777" w:rsidR="0054536F" w:rsidRPr="00742E63" w:rsidRDefault="0054536F" w:rsidP="006C5F59"/>
    <w:p w14:paraId="17BDF850" w14:textId="211B1AC3" w:rsidR="0054536F" w:rsidRPr="00742E63" w:rsidRDefault="00F64AAA" w:rsidP="006C5F59">
      <w:pPr>
        <w:rPr>
          <w:b/>
        </w:rPr>
      </w:pPr>
      <w:r>
        <w:rPr>
          <w:b/>
        </w:rPr>
        <w:t>B</w:t>
      </w:r>
      <w:r w:rsidR="0054536F" w:rsidRPr="00742E63">
        <w:rPr>
          <w:b/>
        </w:rPr>
        <w:t>.2</w:t>
      </w:r>
      <w:r w:rsidR="0054536F" w:rsidRPr="00742E63">
        <w:rPr>
          <w:b/>
        </w:rPr>
        <w:tab/>
        <w:t>STUDY OBJECTIVES</w:t>
      </w:r>
    </w:p>
    <w:p w14:paraId="6DEBC5C3" w14:textId="77777777" w:rsidR="0054536F" w:rsidRPr="002D18EB" w:rsidRDefault="0054536F" w:rsidP="006C5F59"/>
    <w:p w14:paraId="090ECC98" w14:textId="7FFD8BBF" w:rsidR="00375E59" w:rsidRDefault="0054536F" w:rsidP="00375E59">
      <w:pPr>
        <w:rPr>
          <w:color w:val="222222"/>
          <w:szCs w:val="24"/>
        </w:rPr>
      </w:pPr>
      <w:r w:rsidRPr="002D18EB">
        <w:t>The overarching goal</w:t>
      </w:r>
      <w:r w:rsidR="00BD73E0">
        <w:t>s</w:t>
      </w:r>
      <w:r w:rsidR="00EE1C26">
        <w:t xml:space="preserve"> </w:t>
      </w:r>
      <w:r w:rsidRPr="002D18EB">
        <w:t xml:space="preserve">of this study </w:t>
      </w:r>
      <w:r w:rsidR="00BD73E0">
        <w:t>are</w:t>
      </w:r>
      <w:r w:rsidR="00375E59">
        <w:t xml:space="preserve"> </w:t>
      </w:r>
      <w:r w:rsidR="00A944C2">
        <w:t xml:space="preserve">1) </w:t>
      </w:r>
      <w:r w:rsidR="00A944C2" w:rsidRPr="00A944C2">
        <w:t xml:space="preserve">to update </w:t>
      </w:r>
      <w:r w:rsidR="00375E59">
        <w:t>oil spill rate</w:t>
      </w:r>
      <w:r w:rsidR="00A944C2">
        <w:t>s</w:t>
      </w:r>
      <w:r w:rsidR="00C256F8">
        <w:t xml:space="preserve"> </w:t>
      </w:r>
      <w:r w:rsidR="00A944C2">
        <w:t xml:space="preserve">of </w:t>
      </w:r>
      <w:r w:rsidR="00C256F8" w:rsidRPr="00C256F8">
        <w:t>OCS platforms</w:t>
      </w:r>
      <w:r w:rsidR="00A944C2">
        <w:t xml:space="preserve">, OCS </w:t>
      </w:r>
      <w:r w:rsidR="00C256F8" w:rsidRPr="00C256F8">
        <w:t xml:space="preserve">pipelines, </w:t>
      </w:r>
      <w:r w:rsidR="00A944C2">
        <w:t xml:space="preserve">and </w:t>
      </w:r>
      <w:r w:rsidR="00C256F8" w:rsidRPr="00C256F8">
        <w:t>U.S. barges</w:t>
      </w:r>
      <w:r w:rsidR="00A944C2">
        <w:t>, 2) to obtain o</w:t>
      </w:r>
      <w:r w:rsidR="00A944C2" w:rsidRPr="00A944C2">
        <w:t xml:space="preserve">il spill information for </w:t>
      </w:r>
      <w:r w:rsidR="00BD73E0">
        <w:t>BOEM’s Offshore Environmental Cost Model (</w:t>
      </w:r>
      <w:r w:rsidR="00A944C2" w:rsidRPr="00A944C2">
        <w:t>OECM</w:t>
      </w:r>
      <w:r w:rsidR="00BD73E0">
        <w:t>)</w:t>
      </w:r>
      <w:r w:rsidR="00A944C2">
        <w:t xml:space="preserve">, 3) to analyze </w:t>
      </w:r>
      <w:r w:rsidR="00A944C2" w:rsidRPr="00A944C2">
        <w:t>oil spill trend and casual factors</w:t>
      </w:r>
      <w:r w:rsidR="00375E59">
        <w:t xml:space="preserve">. </w:t>
      </w:r>
      <w:r w:rsidR="00375E59" w:rsidRPr="00902037">
        <w:rPr>
          <w:color w:val="222222"/>
          <w:szCs w:val="24"/>
        </w:rPr>
        <w:t xml:space="preserve">Having updated oil spill and oil spill occurrence rate data is critically important to analyze the potential risk and consequence of OCS oil spills, investigate causal factors contributing to the occurrence, size or frequency of oil spills, enhance oil-spill response planning, and target future regulatory reform to better manage risk. </w:t>
      </w:r>
    </w:p>
    <w:p w14:paraId="17CB9559" w14:textId="77777777" w:rsidR="00375E59" w:rsidRDefault="00375E59" w:rsidP="002A110A"/>
    <w:p w14:paraId="4757E2F2" w14:textId="11AA4624" w:rsidR="00721253" w:rsidRPr="002D18EB" w:rsidRDefault="0054536F" w:rsidP="002A110A">
      <w:r w:rsidRPr="002D18EB">
        <w:t>Specific objectives are:</w:t>
      </w:r>
    </w:p>
    <w:p w14:paraId="7E0BE171" w14:textId="4FA0A900" w:rsidR="006024FE" w:rsidRDefault="005231FF" w:rsidP="002A110A">
      <w:pPr>
        <w:numPr>
          <w:ilvl w:val="0"/>
          <w:numId w:val="1"/>
        </w:numPr>
      </w:pPr>
      <w:r>
        <w:t xml:space="preserve">Compilation </w:t>
      </w:r>
      <w:r w:rsidR="006024FE">
        <w:t>of oil spill data</w:t>
      </w:r>
      <w:r w:rsidR="006219FD">
        <w:t xml:space="preserve"> and </w:t>
      </w:r>
      <w:r w:rsidR="006219FD" w:rsidRPr="006219FD">
        <w:t>QA/QC of the data</w:t>
      </w:r>
    </w:p>
    <w:p w14:paraId="7AC9D699" w14:textId="2C34BB8D" w:rsidR="0054536F" w:rsidRPr="002D18EB" w:rsidRDefault="00F4067C" w:rsidP="002A110A">
      <w:pPr>
        <w:numPr>
          <w:ilvl w:val="0"/>
          <w:numId w:val="1"/>
        </w:numPr>
      </w:pPr>
      <w:r>
        <w:t>Examination of historical spill occurrences and of volume of oil handled</w:t>
      </w:r>
    </w:p>
    <w:p w14:paraId="2C3A9981" w14:textId="4D41C633" w:rsidR="00F4067C" w:rsidRDefault="00505B2E" w:rsidP="002A110A">
      <w:pPr>
        <w:numPr>
          <w:ilvl w:val="0"/>
          <w:numId w:val="1"/>
        </w:numPr>
      </w:pPr>
      <w:r>
        <w:t>Analysis of</w:t>
      </w:r>
      <w:r w:rsidR="00F4067C">
        <w:t xml:space="preserve"> </w:t>
      </w:r>
      <w:r>
        <w:t>other potential</w:t>
      </w:r>
      <w:r w:rsidR="00F4067C">
        <w:t xml:space="preserve"> exposure variable</w:t>
      </w:r>
      <w:r>
        <w:t>s</w:t>
      </w:r>
    </w:p>
    <w:p w14:paraId="5F1FAF52" w14:textId="591B23FC" w:rsidR="0054536F" w:rsidRDefault="005A3C54" w:rsidP="00F4067C">
      <w:pPr>
        <w:numPr>
          <w:ilvl w:val="0"/>
          <w:numId w:val="1"/>
        </w:numPr>
      </w:pPr>
      <w:r>
        <w:t>Estimate</w:t>
      </w:r>
      <w:r w:rsidR="00F4067C">
        <w:t xml:space="preserve"> spill occurrence rates and normalize these rates based on number of spills per volume handled</w:t>
      </w:r>
      <w:r w:rsidR="008D6BCD">
        <w:t xml:space="preserve"> and </w:t>
      </w:r>
      <w:r w:rsidR="008D6BCD" w:rsidRPr="008D6BCD">
        <w:t>other potential exposure variables</w:t>
      </w:r>
    </w:p>
    <w:p w14:paraId="17B31DD9" w14:textId="318FEC92" w:rsidR="008D6BCD" w:rsidRDefault="00CD09EC" w:rsidP="00F4067C">
      <w:pPr>
        <w:numPr>
          <w:ilvl w:val="0"/>
          <w:numId w:val="1"/>
        </w:numPr>
      </w:pPr>
      <w:r w:rsidRPr="00CD09EC">
        <w:t xml:space="preserve">Analysis of </w:t>
      </w:r>
      <w:r w:rsidR="008D6BCD" w:rsidRPr="008D6BCD">
        <w:t>oil spill trend and casual factors</w:t>
      </w:r>
    </w:p>
    <w:p w14:paraId="06D51839" w14:textId="28564A40" w:rsidR="008D6BCD" w:rsidRDefault="008D6BCD" w:rsidP="00F4067C">
      <w:pPr>
        <w:numPr>
          <w:ilvl w:val="0"/>
          <w:numId w:val="1"/>
        </w:numPr>
      </w:pPr>
      <w:r>
        <w:t>Provide information</w:t>
      </w:r>
      <w:r w:rsidR="006A341C">
        <w:t xml:space="preserve"> </w:t>
      </w:r>
      <w:r>
        <w:t xml:space="preserve">for </w:t>
      </w:r>
      <w:r w:rsidRPr="008D6BCD">
        <w:t>OECM</w:t>
      </w:r>
      <w:r w:rsidR="00BD73E0">
        <w:t xml:space="preserve"> model</w:t>
      </w:r>
    </w:p>
    <w:p w14:paraId="55BC96F1" w14:textId="79C5EA51" w:rsidR="0054536F" w:rsidRPr="002D18EB" w:rsidRDefault="006219FD" w:rsidP="006219FD">
      <w:pPr>
        <w:pStyle w:val="ListParagraph"/>
        <w:numPr>
          <w:ilvl w:val="0"/>
          <w:numId w:val="1"/>
        </w:numPr>
      </w:pPr>
      <w:r w:rsidRPr="006219FD">
        <w:t>Prepare a 508 compliant report according to BOEM’s specifications</w:t>
      </w:r>
      <w:r>
        <w:t>.</w:t>
      </w:r>
    </w:p>
    <w:p w14:paraId="3EF776F7" w14:textId="77777777" w:rsidR="0054536F" w:rsidRPr="00443CF5" w:rsidRDefault="0054536F" w:rsidP="006C5F59">
      <w:pPr>
        <w:rPr>
          <w:highlight w:val="cyan"/>
        </w:rPr>
      </w:pPr>
    </w:p>
    <w:p w14:paraId="369BAC49" w14:textId="795768A3" w:rsidR="0054536F" w:rsidRPr="00A90A13" w:rsidRDefault="00CD09EC" w:rsidP="006C5F59">
      <w:pPr>
        <w:rPr>
          <w:b/>
        </w:rPr>
      </w:pPr>
      <w:r>
        <w:rPr>
          <w:b/>
        </w:rPr>
        <w:t>B</w:t>
      </w:r>
      <w:r w:rsidR="0054536F" w:rsidRPr="00A90A13">
        <w:rPr>
          <w:b/>
        </w:rPr>
        <w:t>.3</w:t>
      </w:r>
      <w:r w:rsidR="0054536F" w:rsidRPr="00A90A13">
        <w:rPr>
          <w:b/>
        </w:rPr>
        <w:tab/>
        <w:t>SCOPE OF WORK</w:t>
      </w:r>
    </w:p>
    <w:p w14:paraId="0D2D3C19" w14:textId="77777777" w:rsidR="0054536F" w:rsidRPr="00A90A13" w:rsidRDefault="0054536F" w:rsidP="006C5F59">
      <w:r w:rsidRPr="00A90A13">
        <w:tab/>
      </w:r>
      <w:r w:rsidRPr="00A90A13">
        <w:tab/>
      </w:r>
    </w:p>
    <w:p w14:paraId="1B673AD0" w14:textId="69A58E8D" w:rsidR="0054536F" w:rsidRDefault="00CD09EC" w:rsidP="006C5F59">
      <w:pPr>
        <w:rPr>
          <w:b/>
        </w:rPr>
      </w:pPr>
      <w:r>
        <w:rPr>
          <w:b/>
        </w:rPr>
        <w:t>B</w:t>
      </w:r>
      <w:r w:rsidR="0054536F" w:rsidRPr="00A90A13">
        <w:rPr>
          <w:b/>
        </w:rPr>
        <w:t>.3.1</w:t>
      </w:r>
      <w:r w:rsidR="0054536F" w:rsidRPr="00A90A13">
        <w:rPr>
          <w:b/>
        </w:rPr>
        <w:tab/>
        <w:t xml:space="preserve">Task 1: </w:t>
      </w:r>
      <w:r w:rsidR="00BC13D0" w:rsidRPr="00BC13D0">
        <w:rPr>
          <w:b/>
        </w:rPr>
        <w:t>Examination of historical spill occurrences and of volume of oil handled</w:t>
      </w:r>
    </w:p>
    <w:p w14:paraId="05050E37" w14:textId="0C2CCE99" w:rsidR="00E718BF" w:rsidRDefault="00A50755" w:rsidP="006D749A">
      <w:pPr>
        <w:widowControl/>
        <w:autoSpaceDE w:val="0"/>
        <w:autoSpaceDN w:val="0"/>
        <w:adjustRightInd w:val="0"/>
      </w:pPr>
      <w:r>
        <w:rPr>
          <w:rFonts w:ascii="TimesNewRomanPSMT" w:eastAsia="Calibri" w:hAnsi="TimesNewRomanPSMT" w:cs="TimesNewRomanPSMT"/>
          <w:szCs w:val="24"/>
        </w:rPr>
        <w:t>Data on spills from</w:t>
      </w:r>
      <w:r w:rsidR="006D749A">
        <w:rPr>
          <w:rFonts w:ascii="TimesNewRomanPSMT" w:eastAsia="Calibri" w:hAnsi="TimesNewRomanPSMT" w:cs="TimesNewRomanPSMT"/>
          <w:szCs w:val="24"/>
        </w:rPr>
        <w:t xml:space="preserve"> </w:t>
      </w:r>
      <w:r w:rsidR="00DE66D7">
        <w:rPr>
          <w:rFonts w:ascii="TimesNewRomanPSMT" w:eastAsia="Calibri" w:hAnsi="TimesNewRomanPSMT" w:cs="TimesNewRomanPSMT"/>
          <w:szCs w:val="24"/>
        </w:rPr>
        <w:t>platforms and pipeline</w:t>
      </w:r>
      <w:r>
        <w:rPr>
          <w:rFonts w:ascii="TimesNewRomanPSMT" w:eastAsia="Calibri" w:hAnsi="TimesNewRomanPSMT" w:cs="TimesNewRomanPSMT"/>
          <w:szCs w:val="24"/>
        </w:rPr>
        <w:t xml:space="preserve"> on the OCS </w:t>
      </w:r>
      <w:r w:rsidR="00BD73E0">
        <w:rPr>
          <w:rFonts w:ascii="TimesNewRomanPSMT" w:eastAsia="Calibri" w:hAnsi="TimesNewRomanPSMT" w:cs="TimesNewRomanPSMT"/>
          <w:szCs w:val="24"/>
        </w:rPr>
        <w:t>are</w:t>
      </w:r>
      <w:r>
        <w:rPr>
          <w:rFonts w:ascii="TimesNewRomanPSMT" w:eastAsia="Calibri" w:hAnsi="TimesNewRomanPSMT" w:cs="TimesNewRomanPSMT"/>
          <w:szCs w:val="24"/>
        </w:rPr>
        <w:t xml:space="preserve"> collected </w:t>
      </w:r>
      <w:r w:rsidR="00E43E3E">
        <w:rPr>
          <w:rFonts w:ascii="TimesNewRomanPSMT" w:eastAsia="Calibri" w:hAnsi="TimesNewRomanPSMT" w:cs="TimesNewRomanPSMT"/>
          <w:szCs w:val="24"/>
        </w:rPr>
        <w:t xml:space="preserve">and maintained by </w:t>
      </w:r>
      <w:r>
        <w:rPr>
          <w:rFonts w:ascii="TimesNewRomanPSMT" w:eastAsia="Calibri" w:hAnsi="TimesNewRomanPSMT" w:cs="TimesNewRomanPSMT"/>
          <w:szCs w:val="24"/>
        </w:rPr>
        <w:t>BSEE</w:t>
      </w:r>
      <w:r w:rsidR="00721253">
        <w:rPr>
          <w:rFonts w:ascii="TimesNewRomanPSMT" w:eastAsia="Calibri" w:hAnsi="TimesNewRomanPSMT" w:cs="TimesNewRomanPSMT"/>
          <w:szCs w:val="24"/>
        </w:rPr>
        <w:t>. A</w:t>
      </w:r>
      <w:r w:rsidRPr="00A50755">
        <w:rPr>
          <w:rFonts w:ascii="TimesNewRomanPSMT" w:eastAsia="Calibri" w:hAnsi="TimesNewRomanPSMT" w:cs="TimesNewRomanPSMT"/>
          <w:szCs w:val="24"/>
        </w:rPr>
        <w:t xml:space="preserve">ll OCS spills ≥ 1 </w:t>
      </w:r>
      <w:proofErr w:type="spellStart"/>
      <w:r w:rsidRPr="00A50755">
        <w:rPr>
          <w:rFonts w:ascii="TimesNewRomanPSMT" w:eastAsia="Calibri" w:hAnsi="TimesNewRomanPSMT" w:cs="TimesNewRomanPSMT"/>
          <w:szCs w:val="24"/>
        </w:rPr>
        <w:t>bbl</w:t>
      </w:r>
      <w:proofErr w:type="spellEnd"/>
      <w:r w:rsidRPr="00A50755">
        <w:rPr>
          <w:rFonts w:ascii="TimesNewRomanPSMT" w:eastAsia="Calibri" w:hAnsi="TimesNewRomanPSMT" w:cs="TimesNewRomanPSMT"/>
          <w:szCs w:val="24"/>
        </w:rPr>
        <w:t xml:space="preserve"> </w:t>
      </w:r>
      <w:r w:rsidR="00721253">
        <w:rPr>
          <w:rFonts w:ascii="TimesNewRomanPSMT" w:eastAsia="Calibri" w:hAnsi="TimesNewRomanPSMT" w:cs="TimesNewRomanPSMT"/>
          <w:szCs w:val="24"/>
        </w:rPr>
        <w:t>are required to be</w:t>
      </w:r>
      <w:r w:rsidRPr="00A50755">
        <w:rPr>
          <w:rFonts w:ascii="TimesNewRomanPSMT" w:eastAsia="Calibri" w:hAnsi="TimesNewRomanPSMT" w:cs="TimesNewRomanPSMT"/>
          <w:szCs w:val="24"/>
        </w:rPr>
        <w:t xml:space="preserve"> reported to </w:t>
      </w:r>
      <w:r w:rsidR="00721253">
        <w:rPr>
          <w:rFonts w:ascii="TimesNewRomanPSMT" w:eastAsia="Calibri" w:hAnsi="TimesNewRomanPSMT" w:cs="TimesNewRomanPSMT"/>
          <w:szCs w:val="24"/>
        </w:rPr>
        <w:t>BSEE,</w:t>
      </w:r>
      <w:r w:rsidR="00721253" w:rsidRPr="00721253">
        <w:t xml:space="preserve"> </w:t>
      </w:r>
      <w:r w:rsidR="00721253" w:rsidRPr="00721253">
        <w:rPr>
          <w:rFonts w:ascii="TimesNewRomanPSMT" w:eastAsia="Calibri" w:hAnsi="TimesNewRomanPSMT" w:cs="TimesNewRomanPSMT"/>
          <w:szCs w:val="24"/>
        </w:rPr>
        <w:t>including the data for the 1964-2024 period for OCS platform and pipeline spills</w:t>
      </w:r>
      <w:r>
        <w:rPr>
          <w:rFonts w:ascii="TimesNewRomanPSMT" w:eastAsia="Calibri" w:hAnsi="TimesNewRomanPSMT" w:cs="TimesNewRomanPSMT"/>
          <w:szCs w:val="24"/>
        </w:rPr>
        <w:t>.</w:t>
      </w:r>
      <w:r w:rsidRPr="00A50755">
        <w:t xml:space="preserve"> </w:t>
      </w:r>
      <w:r>
        <w:t xml:space="preserve">Oil spills of any size are </w:t>
      </w:r>
      <w:r w:rsidR="00EE1C26">
        <w:t xml:space="preserve">also </w:t>
      </w:r>
      <w:r>
        <w:t>required to be reported to the National Response Center.</w:t>
      </w:r>
      <w:r w:rsidR="00A92D0F">
        <w:t xml:space="preserve"> </w:t>
      </w:r>
      <w:r w:rsidR="00505B2E">
        <w:t xml:space="preserve">Data for the additional spill sources (tankers and barges) </w:t>
      </w:r>
      <w:r w:rsidR="00EE1C26">
        <w:t xml:space="preserve">should </w:t>
      </w:r>
      <w:r w:rsidR="00505B2E">
        <w:t xml:space="preserve">be obtained by the </w:t>
      </w:r>
      <w:r w:rsidR="00CB2A5F">
        <w:t>Recipient</w:t>
      </w:r>
      <w:r w:rsidR="00505B2E">
        <w:t xml:space="preserve"> from </w:t>
      </w:r>
      <w:r w:rsidR="00A6563F">
        <w:t xml:space="preserve">sources such as the </w:t>
      </w:r>
      <w:r w:rsidR="00505B2E">
        <w:t>National Response Center</w:t>
      </w:r>
      <w:r w:rsidR="00A6563F">
        <w:t>, the US Army Corps of Engineers (Waterborne Commerce), British Petroleum, and other appropriate sources</w:t>
      </w:r>
      <w:r w:rsidR="00505B2E">
        <w:t>.</w:t>
      </w:r>
      <w:r w:rsidR="00E718BF">
        <w:t xml:space="preserve"> All</w:t>
      </w:r>
      <w:r w:rsidR="00E718BF" w:rsidRPr="00E718BF">
        <w:t xml:space="preserve"> oil spill data </w:t>
      </w:r>
      <w:r w:rsidR="00E718BF">
        <w:t xml:space="preserve">compilated should go through </w:t>
      </w:r>
      <w:r w:rsidR="00E718BF" w:rsidRPr="00E718BF">
        <w:t>QA/QC</w:t>
      </w:r>
      <w:r w:rsidR="00E718BF">
        <w:t>.</w:t>
      </w:r>
    </w:p>
    <w:p w14:paraId="2E1E0A89" w14:textId="77777777" w:rsidR="00E718BF" w:rsidRDefault="00E718BF" w:rsidP="006D749A">
      <w:pPr>
        <w:widowControl/>
        <w:autoSpaceDE w:val="0"/>
        <w:autoSpaceDN w:val="0"/>
        <w:adjustRightInd w:val="0"/>
      </w:pPr>
    </w:p>
    <w:p w14:paraId="62480C16" w14:textId="79CB6882" w:rsidR="00271E8B" w:rsidRDefault="00BD73E0" w:rsidP="006D749A">
      <w:pPr>
        <w:widowControl/>
        <w:autoSpaceDE w:val="0"/>
        <w:autoSpaceDN w:val="0"/>
        <w:adjustRightInd w:val="0"/>
      </w:pPr>
      <w:r>
        <w:t xml:space="preserve">For the purposes of oil spill risk analysis, </w:t>
      </w:r>
      <w:r w:rsidR="00542933" w:rsidRPr="00542933">
        <w:t xml:space="preserve">BOEM defines oil spill in multiple categories, including: 1) small spills (&lt; 1,000 </w:t>
      </w:r>
      <w:proofErr w:type="spellStart"/>
      <w:r w:rsidR="00542933" w:rsidRPr="00542933">
        <w:t>bbl</w:t>
      </w:r>
      <w:proofErr w:type="spellEnd"/>
      <w:r w:rsidR="00542933" w:rsidRPr="00542933">
        <w:t xml:space="preserve">), 2) large spills (≥ 1,000 </w:t>
      </w:r>
      <w:proofErr w:type="spellStart"/>
      <w:r w:rsidR="00542933" w:rsidRPr="00542933">
        <w:t>bbl</w:t>
      </w:r>
      <w:proofErr w:type="spellEnd"/>
      <w:r w:rsidR="00542933" w:rsidRPr="00542933">
        <w:t xml:space="preserve">), 3) very large spills (≥ 10,000 </w:t>
      </w:r>
      <w:proofErr w:type="spellStart"/>
      <w:r w:rsidR="00542933" w:rsidRPr="00542933">
        <w:t>bbl</w:t>
      </w:r>
      <w:proofErr w:type="spellEnd"/>
      <w:r w:rsidR="00542933" w:rsidRPr="00542933">
        <w:t xml:space="preserve">), and 4) </w:t>
      </w:r>
      <w:proofErr w:type="spellStart"/>
      <w:r w:rsidR="00297298">
        <w:t>extra large</w:t>
      </w:r>
      <w:proofErr w:type="spellEnd"/>
      <w:r w:rsidR="00297298">
        <w:t xml:space="preserve"> </w:t>
      </w:r>
      <w:r w:rsidR="00542933" w:rsidRPr="00542933">
        <w:t xml:space="preserve">spills (≥ 100,000 </w:t>
      </w:r>
      <w:proofErr w:type="spellStart"/>
      <w:r w:rsidR="00542933" w:rsidRPr="00542933">
        <w:t>bbl</w:t>
      </w:r>
      <w:proofErr w:type="spellEnd"/>
      <w:r w:rsidR="00542933" w:rsidRPr="00542933">
        <w:t>).</w:t>
      </w:r>
      <w:r w:rsidR="00542933">
        <w:t xml:space="preserve"> </w:t>
      </w:r>
      <w:r w:rsidR="004B7B10">
        <w:t>Spill</w:t>
      </w:r>
      <w:r w:rsidR="00542933">
        <w:t>s</w:t>
      </w:r>
      <w:r w:rsidR="004B7B10">
        <w:t xml:space="preserve"> are </w:t>
      </w:r>
      <w:r w:rsidR="00542933">
        <w:t>also classified</w:t>
      </w:r>
      <w:r w:rsidR="004B7B10">
        <w:t xml:space="preserve"> by their sizes</w:t>
      </w:r>
      <w:r w:rsidR="008419CD">
        <w:t xml:space="preserve"> </w:t>
      </w:r>
      <w:r w:rsidR="00542933">
        <w:t>in detail:</w:t>
      </w:r>
    </w:p>
    <w:p w14:paraId="01048F9F" w14:textId="77777777" w:rsidR="00271E8B" w:rsidRDefault="00271E8B" w:rsidP="006D749A">
      <w:pPr>
        <w:widowControl/>
        <w:autoSpaceDE w:val="0"/>
        <w:autoSpaceDN w:val="0"/>
        <w:adjustRightInd w:val="0"/>
      </w:pPr>
    </w:p>
    <w:tbl>
      <w:tblPr>
        <w:tblStyle w:val="TableGrid"/>
        <w:tblW w:w="0" w:type="auto"/>
        <w:jc w:val="center"/>
        <w:tblLook w:val="04A0" w:firstRow="1" w:lastRow="0" w:firstColumn="1" w:lastColumn="0" w:noHBand="0" w:noVBand="1"/>
      </w:tblPr>
      <w:tblGrid>
        <w:gridCol w:w="3618"/>
      </w:tblGrid>
      <w:tr w:rsidR="00CD721A" w14:paraId="3FBFD9FF" w14:textId="77777777" w:rsidTr="00E62975">
        <w:trPr>
          <w:jc w:val="center"/>
        </w:trPr>
        <w:tc>
          <w:tcPr>
            <w:tcW w:w="3618" w:type="dxa"/>
            <w:vAlign w:val="center"/>
          </w:tcPr>
          <w:p w14:paraId="27068242" w14:textId="1D9C54E2" w:rsidR="00CD721A" w:rsidRPr="00CD721A" w:rsidRDefault="00CD721A" w:rsidP="00271E8B">
            <w:pPr>
              <w:widowControl/>
              <w:autoSpaceDE w:val="0"/>
              <w:autoSpaceDN w:val="0"/>
              <w:adjustRightInd w:val="0"/>
              <w:jc w:val="center"/>
              <w:rPr>
                <w:rFonts w:eastAsia="ArialMT"/>
                <w:b/>
                <w:bCs/>
                <w:szCs w:val="24"/>
              </w:rPr>
            </w:pPr>
            <w:r w:rsidRPr="00CD721A">
              <w:rPr>
                <w:rFonts w:eastAsia="ArialMT"/>
                <w:b/>
                <w:bCs/>
                <w:szCs w:val="24"/>
              </w:rPr>
              <w:t>Spill Class Sizes</w:t>
            </w:r>
          </w:p>
        </w:tc>
      </w:tr>
      <w:tr w:rsidR="00CD721A" w14:paraId="27B3089A" w14:textId="77777777" w:rsidTr="00E62975">
        <w:trPr>
          <w:jc w:val="center"/>
        </w:trPr>
        <w:tc>
          <w:tcPr>
            <w:tcW w:w="3618" w:type="dxa"/>
            <w:vAlign w:val="center"/>
          </w:tcPr>
          <w:p w14:paraId="3E1ADD92" w14:textId="3DD957F5" w:rsidR="00CD721A" w:rsidRPr="00271E8B" w:rsidRDefault="00CD721A" w:rsidP="00271E8B">
            <w:pPr>
              <w:widowControl/>
              <w:autoSpaceDE w:val="0"/>
              <w:autoSpaceDN w:val="0"/>
              <w:adjustRightInd w:val="0"/>
              <w:jc w:val="center"/>
              <w:rPr>
                <w:rFonts w:eastAsia="ArialMT"/>
                <w:szCs w:val="24"/>
              </w:rPr>
            </w:pPr>
            <w:r w:rsidRPr="00271E8B">
              <w:rPr>
                <w:rFonts w:eastAsia="ArialMT"/>
                <w:szCs w:val="24"/>
              </w:rPr>
              <w:lastRenderedPageBreak/>
              <w:t xml:space="preserve">≥ 1 to &lt; 5 </w:t>
            </w:r>
            <w:proofErr w:type="spellStart"/>
            <w:r w:rsidRPr="00271E8B">
              <w:rPr>
                <w:rFonts w:eastAsia="ArialMT"/>
                <w:szCs w:val="24"/>
              </w:rPr>
              <w:t>bbl</w:t>
            </w:r>
            <w:proofErr w:type="spellEnd"/>
          </w:p>
        </w:tc>
      </w:tr>
      <w:tr w:rsidR="00CD721A" w14:paraId="1872C4A6" w14:textId="77777777" w:rsidTr="00E62975">
        <w:trPr>
          <w:jc w:val="center"/>
        </w:trPr>
        <w:tc>
          <w:tcPr>
            <w:tcW w:w="3618" w:type="dxa"/>
            <w:vAlign w:val="center"/>
          </w:tcPr>
          <w:p w14:paraId="1A5DB844" w14:textId="478856F5" w:rsidR="00CD721A" w:rsidRPr="00271E8B" w:rsidRDefault="00CD721A" w:rsidP="00271E8B">
            <w:pPr>
              <w:widowControl/>
              <w:autoSpaceDE w:val="0"/>
              <w:autoSpaceDN w:val="0"/>
              <w:adjustRightInd w:val="0"/>
              <w:jc w:val="center"/>
              <w:rPr>
                <w:rFonts w:eastAsia="ArialMT"/>
                <w:szCs w:val="24"/>
              </w:rPr>
            </w:pPr>
            <w:r w:rsidRPr="00271E8B">
              <w:rPr>
                <w:rFonts w:eastAsia="ArialMT"/>
                <w:szCs w:val="24"/>
              </w:rPr>
              <w:t xml:space="preserve">≥ 5 to &lt; 10 </w:t>
            </w:r>
            <w:proofErr w:type="spellStart"/>
            <w:r w:rsidRPr="00271E8B">
              <w:rPr>
                <w:rFonts w:eastAsia="ArialMT"/>
                <w:szCs w:val="24"/>
              </w:rPr>
              <w:t>bbl</w:t>
            </w:r>
            <w:proofErr w:type="spellEnd"/>
          </w:p>
        </w:tc>
      </w:tr>
      <w:tr w:rsidR="00CD721A" w14:paraId="363F00A3" w14:textId="77777777" w:rsidTr="00E62975">
        <w:trPr>
          <w:jc w:val="center"/>
        </w:trPr>
        <w:tc>
          <w:tcPr>
            <w:tcW w:w="3618" w:type="dxa"/>
            <w:vAlign w:val="center"/>
          </w:tcPr>
          <w:p w14:paraId="05EED3C6" w14:textId="52856CBC" w:rsidR="00CD721A" w:rsidRPr="00271E8B" w:rsidRDefault="00CD721A" w:rsidP="00271E8B">
            <w:pPr>
              <w:widowControl/>
              <w:autoSpaceDE w:val="0"/>
              <w:autoSpaceDN w:val="0"/>
              <w:adjustRightInd w:val="0"/>
              <w:jc w:val="center"/>
              <w:rPr>
                <w:rFonts w:eastAsia="ArialMT"/>
                <w:szCs w:val="24"/>
              </w:rPr>
            </w:pPr>
            <w:r w:rsidRPr="00271E8B">
              <w:rPr>
                <w:rFonts w:eastAsia="ArialMT"/>
                <w:szCs w:val="24"/>
              </w:rPr>
              <w:t xml:space="preserve">≥ 10 to &lt; 20 </w:t>
            </w:r>
            <w:proofErr w:type="spellStart"/>
            <w:r w:rsidRPr="00271E8B">
              <w:rPr>
                <w:rFonts w:eastAsia="ArialMT"/>
                <w:szCs w:val="24"/>
              </w:rPr>
              <w:t>bbl</w:t>
            </w:r>
            <w:proofErr w:type="spellEnd"/>
          </w:p>
        </w:tc>
      </w:tr>
      <w:tr w:rsidR="00CD721A" w14:paraId="197582F4" w14:textId="77777777" w:rsidTr="00E62975">
        <w:trPr>
          <w:jc w:val="center"/>
        </w:trPr>
        <w:tc>
          <w:tcPr>
            <w:tcW w:w="3618" w:type="dxa"/>
            <w:vAlign w:val="center"/>
          </w:tcPr>
          <w:p w14:paraId="2A083F6A" w14:textId="720A0B7A" w:rsidR="00CD721A" w:rsidRPr="00271E8B" w:rsidRDefault="00CD721A" w:rsidP="00271E8B">
            <w:pPr>
              <w:widowControl/>
              <w:autoSpaceDE w:val="0"/>
              <w:autoSpaceDN w:val="0"/>
              <w:adjustRightInd w:val="0"/>
              <w:jc w:val="center"/>
              <w:rPr>
                <w:rFonts w:eastAsia="ArialMT"/>
                <w:szCs w:val="24"/>
              </w:rPr>
            </w:pPr>
            <w:r w:rsidRPr="00271E8B">
              <w:rPr>
                <w:rFonts w:eastAsia="ArialMT"/>
                <w:szCs w:val="24"/>
              </w:rPr>
              <w:t xml:space="preserve">≥ 20 to &lt; 50 </w:t>
            </w:r>
            <w:proofErr w:type="spellStart"/>
            <w:r w:rsidRPr="00271E8B">
              <w:rPr>
                <w:rFonts w:eastAsia="ArialMT"/>
                <w:szCs w:val="24"/>
              </w:rPr>
              <w:t>bbl</w:t>
            </w:r>
            <w:proofErr w:type="spellEnd"/>
          </w:p>
        </w:tc>
      </w:tr>
      <w:tr w:rsidR="00CD721A" w14:paraId="07FB9A32" w14:textId="77777777" w:rsidTr="00E62975">
        <w:trPr>
          <w:jc w:val="center"/>
        </w:trPr>
        <w:tc>
          <w:tcPr>
            <w:tcW w:w="3618" w:type="dxa"/>
            <w:vAlign w:val="center"/>
          </w:tcPr>
          <w:p w14:paraId="4C2D7C05" w14:textId="3F3EBEBF" w:rsidR="00CD721A" w:rsidRPr="00271E8B" w:rsidRDefault="00CD721A" w:rsidP="00271E8B">
            <w:pPr>
              <w:widowControl/>
              <w:autoSpaceDE w:val="0"/>
              <w:autoSpaceDN w:val="0"/>
              <w:adjustRightInd w:val="0"/>
              <w:jc w:val="center"/>
              <w:rPr>
                <w:rFonts w:eastAsia="ArialMT"/>
                <w:szCs w:val="24"/>
              </w:rPr>
            </w:pPr>
            <w:r w:rsidRPr="00271E8B">
              <w:rPr>
                <w:rFonts w:eastAsia="ArialMT"/>
                <w:szCs w:val="24"/>
              </w:rPr>
              <w:t xml:space="preserve">≥ 50 to &lt; 100 </w:t>
            </w:r>
            <w:proofErr w:type="spellStart"/>
            <w:r w:rsidRPr="00271E8B">
              <w:rPr>
                <w:rFonts w:eastAsia="ArialMT"/>
                <w:szCs w:val="24"/>
              </w:rPr>
              <w:t>bbl</w:t>
            </w:r>
            <w:proofErr w:type="spellEnd"/>
          </w:p>
        </w:tc>
      </w:tr>
      <w:tr w:rsidR="00CD721A" w14:paraId="5BF95C82" w14:textId="77777777" w:rsidTr="00E62975">
        <w:trPr>
          <w:jc w:val="center"/>
        </w:trPr>
        <w:tc>
          <w:tcPr>
            <w:tcW w:w="3618" w:type="dxa"/>
            <w:vAlign w:val="center"/>
          </w:tcPr>
          <w:p w14:paraId="5A57237D" w14:textId="5BE25A0C" w:rsidR="00CD721A" w:rsidRPr="00271E8B" w:rsidRDefault="00CD721A" w:rsidP="00271E8B">
            <w:pPr>
              <w:widowControl/>
              <w:autoSpaceDE w:val="0"/>
              <w:autoSpaceDN w:val="0"/>
              <w:adjustRightInd w:val="0"/>
              <w:jc w:val="center"/>
              <w:rPr>
                <w:rFonts w:eastAsia="ArialMT"/>
                <w:szCs w:val="24"/>
              </w:rPr>
            </w:pPr>
            <w:r w:rsidRPr="00271E8B">
              <w:rPr>
                <w:rFonts w:eastAsia="ArialMT"/>
                <w:szCs w:val="24"/>
              </w:rPr>
              <w:t xml:space="preserve">≥ 100 to &lt; 500 </w:t>
            </w:r>
            <w:proofErr w:type="spellStart"/>
            <w:r w:rsidRPr="00271E8B">
              <w:rPr>
                <w:rFonts w:eastAsia="ArialMT"/>
                <w:szCs w:val="24"/>
              </w:rPr>
              <w:t>bbl</w:t>
            </w:r>
            <w:proofErr w:type="spellEnd"/>
          </w:p>
        </w:tc>
      </w:tr>
      <w:tr w:rsidR="00CD721A" w14:paraId="374C6D66" w14:textId="77777777" w:rsidTr="00E62975">
        <w:trPr>
          <w:jc w:val="center"/>
        </w:trPr>
        <w:tc>
          <w:tcPr>
            <w:tcW w:w="3618" w:type="dxa"/>
            <w:vAlign w:val="center"/>
          </w:tcPr>
          <w:p w14:paraId="085EC8DD" w14:textId="025DD7E7" w:rsidR="00CD721A" w:rsidRPr="00271E8B" w:rsidRDefault="00CD721A" w:rsidP="00271E8B">
            <w:pPr>
              <w:widowControl/>
              <w:autoSpaceDE w:val="0"/>
              <w:autoSpaceDN w:val="0"/>
              <w:adjustRightInd w:val="0"/>
              <w:jc w:val="center"/>
              <w:rPr>
                <w:rFonts w:eastAsia="ArialMT"/>
                <w:szCs w:val="24"/>
              </w:rPr>
            </w:pPr>
            <w:r w:rsidRPr="00271E8B">
              <w:rPr>
                <w:rFonts w:eastAsia="ArialMT"/>
                <w:szCs w:val="24"/>
              </w:rPr>
              <w:t xml:space="preserve">≥ 500 to &lt; 1,000 </w:t>
            </w:r>
            <w:proofErr w:type="spellStart"/>
            <w:r w:rsidRPr="00271E8B">
              <w:rPr>
                <w:rFonts w:eastAsia="ArialMT"/>
                <w:szCs w:val="24"/>
              </w:rPr>
              <w:t>bbl</w:t>
            </w:r>
            <w:proofErr w:type="spellEnd"/>
          </w:p>
        </w:tc>
      </w:tr>
      <w:tr w:rsidR="00CD721A" w14:paraId="4ADFDE05" w14:textId="77777777" w:rsidTr="00E62975">
        <w:trPr>
          <w:jc w:val="center"/>
        </w:trPr>
        <w:tc>
          <w:tcPr>
            <w:tcW w:w="3618" w:type="dxa"/>
            <w:vAlign w:val="center"/>
          </w:tcPr>
          <w:p w14:paraId="0A0DB4DB" w14:textId="461D5AE5" w:rsidR="00CD721A" w:rsidRPr="00271E8B" w:rsidRDefault="00304462" w:rsidP="008419CD">
            <w:pPr>
              <w:widowControl/>
              <w:autoSpaceDE w:val="0"/>
              <w:autoSpaceDN w:val="0"/>
              <w:adjustRightInd w:val="0"/>
              <w:jc w:val="center"/>
              <w:rPr>
                <w:szCs w:val="24"/>
              </w:rPr>
            </w:pPr>
            <w:r w:rsidRPr="00271E8B">
              <w:rPr>
                <w:szCs w:val="24"/>
              </w:rPr>
              <w:t>≥1,000</w:t>
            </w:r>
            <w:r w:rsidRPr="00271E8B" w:rsidDel="008419CD">
              <w:rPr>
                <w:szCs w:val="24"/>
              </w:rPr>
              <w:t xml:space="preserve"> </w:t>
            </w:r>
            <w:r>
              <w:rPr>
                <w:szCs w:val="24"/>
              </w:rPr>
              <w:t xml:space="preserve">to </w:t>
            </w:r>
            <w:r w:rsidRPr="00271E8B">
              <w:rPr>
                <w:szCs w:val="24"/>
              </w:rPr>
              <w:t>&lt;10,000</w:t>
            </w:r>
            <w:r>
              <w:rPr>
                <w:szCs w:val="24"/>
              </w:rPr>
              <w:t xml:space="preserve"> </w:t>
            </w:r>
            <w:proofErr w:type="spellStart"/>
            <w:r>
              <w:rPr>
                <w:szCs w:val="24"/>
              </w:rPr>
              <w:t>bbl</w:t>
            </w:r>
            <w:proofErr w:type="spellEnd"/>
          </w:p>
        </w:tc>
      </w:tr>
      <w:tr w:rsidR="00CD721A" w14:paraId="26F65C04" w14:textId="77777777" w:rsidTr="00E62975">
        <w:trPr>
          <w:jc w:val="center"/>
        </w:trPr>
        <w:tc>
          <w:tcPr>
            <w:tcW w:w="3618" w:type="dxa"/>
            <w:vAlign w:val="center"/>
          </w:tcPr>
          <w:p w14:paraId="095542F5" w14:textId="7923C049" w:rsidR="00CD721A" w:rsidRPr="00271E8B" w:rsidRDefault="00304462" w:rsidP="00271E8B">
            <w:pPr>
              <w:widowControl/>
              <w:autoSpaceDE w:val="0"/>
              <w:autoSpaceDN w:val="0"/>
              <w:adjustRightInd w:val="0"/>
              <w:jc w:val="center"/>
              <w:rPr>
                <w:szCs w:val="24"/>
              </w:rPr>
            </w:pPr>
            <w:r w:rsidRPr="00304462">
              <w:rPr>
                <w:szCs w:val="24"/>
              </w:rPr>
              <w:t xml:space="preserve">≥1,000 </w:t>
            </w:r>
            <w:proofErr w:type="spellStart"/>
            <w:r w:rsidRPr="00304462">
              <w:rPr>
                <w:szCs w:val="24"/>
              </w:rPr>
              <w:t>bbl</w:t>
            </w:r>
            <w:proofErr w:type="spellEnd"/>
          </w:p>
        </w:tc>
      </w:tr>
      <w:tr w:rsidR="00CD721A" w14:paraId="072882CF" w14:textId="77777777" w:rsidTr="00E62975">
        <w:trPr>
          <w:jc w:val="center"/>
        </w:trPr>
        <w:tc>
          <w:tcPr>
            <w:tcW w:w="3618" w:type="dxa"/>
            <w:vAlign w:val="center"/>
          </w:tcPr>
          <w:p w14:paraId="5434C2F8" w14:textId="6224AB9B" w:rsidR="00CD721A" w:rsidRPr="00271E8B" w:rsidRDefault="00CD721A" w:rsidP="00271E8B">
            <w:pPr>
              <w:widowControl/>
              <w:autoSpaceDE w:val="0"/>
              <w:autoSpaceDN w:val="0"/>
              <w:adjustRightInd w:val="0"/>
              <w:jc w:val="center"/>
              <w:rPr>
                <w:szCs w:val="24"/>
              </w:rPr>
            </w:pPr>
            <w:r w:rsidRPr="00271E8B">
              <w:rPr>
                <w:szCs w:val="24"/>
              </w:rPr>
              <w:t xml:space="preserve">≥10,000 </w:t>
            </w:r>
            <w:proofErr w:type="spellStart"/>
            <w:r w:rsidRPr="00271E8B">
              <w:rPr>
                <w:szCs w:val="24"/>
              </w:rPr>
              <w:t>bbl</w:t>
            </w:r>
            <w:proofErr w:type="spellEnd"/>
          </w:p>
        </w:tc>
      </w:tr>
      <w:tr w:rsidR="00CD721A" w14:paraId="4425F223" w14:textId="77777777" w:rsidTr="00E62975">
        <w:trPr>
          <w:jc w:val="center"/>
        </w:trPr>
        <w:tc>
          <w:tcPr>
            <w:tcW w:w="3618" w:type="dxa"/>
            <w:vAlign w:val="center"/>
          </w:tcPr>
          <w:p w14:paraId="4406638D" w14:textId="08E70234" w:rsidR="00CD721A" w:rsidRPr="00271E8B" w:rsidRDefault="00CD721A" w:rsidP="00271E8B">
            <w:pPr>
              <w:widowControl/>
              <w:autoSpaceDE w:val="0"/>
              <w:autoSpaceDN w:val="0"/>
              <w:adjustRightInd w:val="0"/>
              <w:jc w:val="center"/>
              <w:rPr>
                <w:szCs w:val="24"/>
              </w:rPr>
            </w:pPr>
            <w:r w:rsidRPr="006B7D70">
              <w:rPr>
                <w:szCs w:val="24"/>
              </w:rPr>
              <w:t>≥10</w:t>
            </w:r>
            <w:r>
              <w:rPr>
                <w:szCs w:val="24"/>
              </w:rPr>
              <w:t>0</w:t>
            </w:r>
            <w:r w:rsidRPr="006B7D70">
              <w:rPr>
                <w:szCs w:val="24"/>
              </w:rPr>
              <w:t xml:space="preserve">,000 </w:t>
            </w:r>
            <w:proofErr w:type="spellStart"/>
            <w:r w:rsidRPr="006B7D70">
              <w:rPr>
                <w:szCs w:val="24"/>
              </w:rPr>
              <w:t>bbl</w:t>
            </w:r>
            <w:proofErr w:type="spellEnd"/>
          </w:p>
        </w:tc>
      </w:tr>
    </w:tbl>
    <w:p w14:paraId="2AA26246" w14:textId="77777777" w:rsidR="00542933" w:rsidRDefault="00542933" w:rsidP="006D749A">
      <w:pPr>
        <w:widowControl/>
        <w:autoSpaceDE w:val="0"/>
        <w:autoSpaceDN w:val="0"/>
        <w:adjustRightInd w:val="0"/>
      </w:pPr>
    </w:p>
    <w:p w14:paraId="0F44F6E2" w14:textId="14ABFD53" w:rsidR="00B32639" w:rsidRPr="00A90A13" w:rsidRDefault="00B32639" w:rsidP="00B32639">
      <w:pPr>
        <w:widowControl/>
        <w:autoSpaceDE w:val="0"/>
        <w:autoSpaceDN w:val="0"/>
        <w:adjustRightInd w:val="0"/>
        <w:rPr>
          <w:b/>
        </w:rPr>
      </w:pPr>
      <w:r>
        <w:t>Number, mean spill size, and median spill size should be determined for each spill class size using relevant formulas from the appropriate probability distribution.</w:t>
      </w:r>
      <w:r w:rsidRPr="009516CC">
        <w:t xml:space="preserve"> </w:t>
      </w:r>
      <w:r w:rsidR="00EF0EB7">
        <w:t xml:space="preserve">Error analysis should be conducted for each of these spill class sizes. </w:t>
      </w:r>
      <w:r>
        <w:t xml:space="preserve">BOEM will provide the </w:t>
      </w:r>
      <w:r w:rsidR="00CB2A5F">
        <w:t>Recipient</w:t>
      </w:r>
      <w:r>
        <w:t xml:space="preserve"> with exposure data, such as annualized volume of oil handled.</w:t>
      </w:r>
      <w:r w:rsidR="005E0648" w:rsidRPr="005E0648">
        <w:t xml:space="preserve"> </w:t>
      </w:r>
      <w:r w:rsidR="005E0648">
        <w:t>An exposure variable is some quantity or measure related to oil operations, production or transportation which has a precise statistical relationship to spill occurrence.</w:t>
      </w:r>
    </w:p>
    <w:p w14:paraId="63BFEC21" w14:textId="77777777" w:rsidR="0054536F" w:rsidRPr="00B461D2" w:rsidRDefault="0054536F" w:rsidP="006C5F59"/>
    <w:p w14:paraId="54D29863" w14:textId="572CE8FF" w:rsidR="0054536F" w:rsidRDefault="00542933" w:rsidP="006C5F59">
      <w:r>
        <w:rPr>
          <w:b/>
        </w:rPr>
        <w:t>B</w:t>
      </w:r>
      <w:r w:rsidR="0054536F" w:rsidRPr="00C90662">
        <w:rPr>
          <w:b/>
        </w:rPr>
        <w:t>.3.2</w:t>
      </w:r>
      <w:r w:rsidR="0054536F" w:rsidRPr="00C90662">
        <w:rPr>
          <w:b/>
        </w:rPr>
        <w:tab/>
        <w:t xml:space="preserve">Task 2: </w:t>
      </w:r>
      <w:r w:rsidR="00EE1C26">
        <w:rPr>
          <w:b/>
        </w:rPr>
        <w:t>Consider</w:t>
      </w:r>
      <w:r w:rsidR="00A01EC5">
        <w:rPr>
          <w:b/>
        </w:rPr>
        <w:t>ation of</w:t>
      </w:r>
      <w:r w:rsidR="00EE1C26">
        <w:rPr>
          <w:b/>
        </w:rPr>
        <w:t xml:space="preserve"> </w:t>
      </w:r>
      <w:r w:rsidR="00A92D0F">
        <w:rPr>
          <w:b/>
        </w:rPr>
        <w:t xml:space="preserve">alternative </w:t>
      </w:r>
      <w:r w:rsidR="00BC13D0" w:rsidRPr="00BC13D0">
        <w:rPr>
          <w:b/>
        </w:rPr>
        <w:t>exposure variable</w:t>
      </w:r>
      <w:r w:rsidR="00A92D0F">
        <w:rPr>
          <w:b/>
        </w:rPr>
        <w:t>s</w:t>
      </w:r>
    </w:p>
    <w:p w14:paraId="0B5E202B" w14:textId="11C4D7A5" w:rsidR="0054536F" w:rsidRPr="000D2465" w:rsidRDefault="006D749A" w:rsidP="000D2465">
      <w:pPr>
        <w:widowControl/>
        <w:autoSpaceDE w:val="0"/>
        <w:autoSpaceDN w:val="0"/>
        <w:adjustRightInd w:val="0"/>
        <w:rPr>
          <w:rFonts w:eastAsia="Calibri"/>
          <w:szCs w:val="24"/>
        </w:rPr>
      </w:pPr>
      <w:r>
        <w:t>Historically the estimated mean number of spills, in conjunction with the Poisson distribution, has been used to estimate the probability of spill occurrence. This estimated mean number of spills is normalized as a function of the oil handled. “Handled” has been defined for platforms and pipelines as oil produced and for tankers and barges as oil transported. This exposure variable was previously selected based on the fact that it was simple to define</w:t>
      </w:r>
      <w:r w:rsidR="00DE66D7">
        <w:t>,</w:t>
      </w:r>
      <w:r>
        <w:t xml:space="preserve"> and it was </w:t>
      </w:r>
      <w:r w:rsidR="00DE66D7">
        <w:t xml:space="preserve">both a measured and </w:t>
      </w:r>
      <w:r>
        <w:t xml:space="preserve">predictable quantity. There is existing historic data on volume of oil handled and associated spills. Further, BOEM estimates the future OCS oil production. </w:t>
      </w:r>
      <w:r w:rsidR="006830FA">
        <w:t>However, there is the potential for a better suited exposure variable.</w:t>
      </w:r>
      <w:r w:rsidR="00271E8B">
        <w:t xml:space="preserve"> </w:t>
      </w:r>
      <w:r w:rsidR="00436047" w:rsidRPr="00436047">
        <w:t xml:space="preserve">Lanfear </w:t>
      </w:r>
      <w:r w:rsidR="00B115D0">
        <w:t>and</w:t>
      </w:r>
      <w:r w:rsidR="00436047" w:rsidRPr="00436047">
        <w:t xml:space="preserve"> </w:t>
      </w:r>
      <w:r w:rsidR="00436047">
        <w:t>A</w:t>
      </w:r>
      <w:r w:rsidR="00436047" w:rsidRPr="00436047">
        <w:t xml:space="preserve">mstutz (1983) </w:t>
      </w:r>
      <w:r w:rsidR="00436047">
        <w:t>examined</w:t>
      </w:r>
      <w:r w:rsidR="00436047" w:rsidRPr="00436047">
        <w:t xml:space="preserve"> the cumulative frequency distributions of oil spills, test</w:t>
      </w:r>
      <w:r w:rsidR="00B115D0">
        <w:t>ed</w:t>
      </w:r>
      <w:r w:rsidR="00436047" w:rsidRPr="00436047">
        <w:t xml:space="preserve"> pipeline miles as an alternative exposure variable for pipeline spills, and discusse</w:t>
      </w:r>
      <w:r w:rsidR="00B115D0">
        <w:t>d</w:t>
      </w:r>
      <w:r w:rsidR="00436047" w:rsidRPr="00436047">
        <w:t xml:space="preserve"> the trend analysis of offshore spills performed by </w:t>
      </w:r>
      <w:proofErr w:type="spellStart"/>
      <w:r w:rsidR="00436047" w:rsidRPr="00436047">
        <w:t>Nakassis</w:t>
      </w:r>
      <w:proofErr w:type="spellEnd"/>
      <w:r w:rsidR="00436047" w:rsidRPr="00436047">
        <w:t xml:space="preserve"> (1982).</w:t>
      </w:r>
      <w:r w:rsidR="007F7028" w:rsidRPr="007F7028">
        <w:t xml:space="preserve"> </w:t>
      </w:r>
      <w:r w:rsidR="007F7028">
        <w:t>Eschenbach and Harper (2006) examined other alternative exposure variables including time, oil production, pipeline mile-years, and platform-years. Additional a</w:t>
      </w:r>
      <w:r w:rsidR="00436047">
        <w:t xml:space="preserve">lternative exposure variables </w:t>
      </w:r>
      <w:r w:rsidR="007F7028">
        <w:t xml:space="preserve">have and </w:t>
      </w:r>
      <w:r w:rsidR="00436047">
        <w:t xml:space="preserve">could be considered such as </w:t>
      </w:r>
      <w:r w:rsidR="005616E7">
        <w:t>production years</w:t>
      </w:r>
      <w:r w:rsidR="00050BC5">
        <w:t xml:space="preserve">, </w:t>
      </w:r>
      <w:r w:rsidR="00436047">
        <w:t xml:space="preserve">age of infrastructure, length of </w:t>
      </w:r>
      <w:r w:rsidR="005616E7">
        <w:t xml:space="preserve">pipeline </w:t>
      </w:r>
      <w:r w:rsidR="00436047">
        <w:t>transport, etc.</w:t>
      </w:r>
      <w:r w:rsidR="00555AB6">
        <w:t xml:space="preserve"> </w:t>
      </w:r>
      <w:r w:rsidR="007F7028">
        <w:t>(Eschenbach and Harper 2010; Robertson et. al 2013</w:t>
      </w:r>
      <w:r w:rsidR="00850404">
        <w:t>, 2020a, 2020b</w:t>
      </w:r>
      <w:r w:rsidR="007F7028">
        <w:t xml:space="preserve">). </w:t>
      </w:r>
    </w:p>
    <w:p w14:paraId="107227DB" w14:textId="77777777" w:rsidR="005A3C54" w:rsidRDefault="005A3C54" w:rsidP="006F4124"/>
    <w:p w14:paraId="06D95E56" w14:textId="23AEFC74" w:rsidR="005A3C54" w:rsidRDefault="005A3C54" w:rsidP="006F4124">
      <w:r w:rsidRPr="005A3C54">
        <w:t xml:space="preserve">AI methods can be used to conduct probabilistic risk assessments and sensitivity analyses to quantify the uncertainties associated with various input parameters and assumptions in oil spill risk </w:t>
      </w:r>
      <w:r>
        <w:t>analysi</w:t>
      </w:r>
      <w:r w:rsidRPr="005A3C54">
        <w:t>s</w:t>
      </w:r>
      <w:r>
        <w:t>, such as climate change, hurricane frequency, age of oil facility, water depth (shallow water area vs. deep water area), size of spills (small spills vs. large spills)</w:t>
      </w:r>
      <w:r w:rsidR="000D2465">
        <w:t>,</w:t>
      </w:r>
      <w:r>
        <w:t xml:space="preserve"> etc</w:t>
      </w:r>
      <w:r w:rsidRPr="005A3C54">
        <w:t xml:space="preserve">. </w:t>
      </w:r>
      <w:r w:rsidR="00E718BF">
        <w:t>A</w:t>
      </w:r>
      <w:r w:rsidR="00687DAC">
        <w:t xml:space="preserve">n </w:t>
      </w:r>
      <w:r w:rsidRPr="005A3C54">
        <w:t xml:space="preserve">AI-based decision support systems </w:t>
      </w:r>
      <w:r w:rsidR="00687DAC">
        <w:t>could</w:t>
      </w:r>
      <w:r w:rsidR="00F80A3E">
        <w:t xml:space="preserve"> </w:t>
      </w:r>
      <w:r w:rsidRPr="005A3C54">
        <w:t xml:space="preserve">integrate data from multiple sources to assist </w:t>
      </w:r>
      <w:r>
        <w:t>risk estimation</w:t>
      </w:r>
      <w:r w:rsidRPr="005A3C54">
        <w:t xml:space="preserve">. These </w:t>
      </w:r>
      <w:r>
        <w:t>method</w:t>
      </w:r>
      <w:r w:rsidRPr="005A3C54">
        <w:t xml:space="preserve">s may employ optimization algorithms, expert systems, or reinforcement learning techniques to generate </w:t>
      </w:r>
      <w:r w:rsidR="00632A84">
        <w:t>more accurate and reliable risk assessments</w:t>
      </w:r>
      <w:r w:rsidR="000D2465">
        <w:t>. Any alternatives should be presented for BOEM review and approval.</w:t>
      </w:r>
    </w:p>
    <w:p w14:paraId="3504BF8E" w14:textId="77777777" w:rsidR="006830FA" w:rsidRPr="00443CF5" w:rsidRDefault="006830FA" w:rsidP="006C5F59">
      <w:pPr>
        <w:rPr>
          <w:highlight w:val="cyan"/>
        </w:rPr>
      </w:pPr>
    </w:p>
    <w:p w14:paraId="12356B54" w14:textId="3413E43A" w:rsidR="00271E8B" w:rsidRDefault="003E70D3" w:rsidP="00271E8B">
      <w:pPr>
        <w:rPr>
          <w:b/>
        </w:rPr>
      </w:pPr>
      <w:r>
        <w:rPr>
          <w:b/>
        </w:rPr>
        <w:t>B</w:t>
      </w:r>
      <w:r w:rsidR="00271E8B" w:rsidRPr="007030D3">
        <w:rPr>
          <w:b/>
        </w:rPr>
        <w:t>.3.</w:t>
      </w:r>
      <w:r w:rsidR="00271E8B">
        <w:rPr>
          <w:b/>
        </w:rPr>
        <w:t>3</w:t>
      </w:r>
      <w:r w:rsidR="00271E8B" w:rsidRPr="007030D3">
        <w:rPr>
          <w:b/>
        </w:rPr>
        <w:tab/>
        <w:t xml:space="preserve">Task </w:t>
      </w:r>
      <w:r w:rsidR="00271E8B">
        <w:rPr>
          <w:b/>
        </w:rPr>
        <w:t>3</w:t>
      </w:r>
      <w:r w:rsidR="00271E8B" w:rsidRPr="007030D3">
        <w:rPr>
          <w:b/>
        </w:rPr>
        <w:t xml:space="preserve">: </w:t>
      </w:r>
      <w:r w:rsidR="005E0648">
        <w:rPr>
          <w:b/>
        </w:rPr>
        <w:t xml:space="preserve">Estimate spill occurrence </w:t>
      </w:r>
      <w:r w:rsidR="00271E8B" w:rsidRPr="00BC13D0">
        <w:rPr>
          <w:b/>
        </w:rPr>
        <w:t xml:space="preserve">rates and normalize these rates based on number </w:t>
      </w:r>
      <w:r w:rsidR="00271E8B" w:rsidRPr="00BC13D0">
        <w:rPr>
          <w:b/>
        </w:rPr>
        <w:lastRenderedPageBreak/>
        <w:t>of spills per volume handled</w:t>
      </w:r>
      <w:r w:rsidR="00271E8B" w:rsidRPr="007030D3">
        <w:rPr>
          <w:b/>
        </w:rPr>
        <w:t xml:space="preserve"> </w:t>
      </w:r>
      <w:r w:rsidR="00271E8B">
        <w:rPr>
          <w:b/>
        </w:rPr>
        <w:t>and other relevant exposure variables</w:t>
      </w:r>
    </w:p>
    <w:p w14:paraId="26632698" w14:textId="65430580" w:rsidR="00271E8B" w:rsidRDefault="00271E8B" w:rsidP="00271E8B">
      <w:r>
        <w:t xml:space="preserve">Oil spill rates will </w:t>
      </w:r>
      <w:r w:rsidR="005E0648">
        <w:t>be calculated for OCS platforms and</w:t>
      </w:r>
      <w:r>
        <w:t xml:space="preserve"> OCS pipelines</w:t>
      </w:r>
      <w:r w:rsidR="005E0648" w:rsidRPr="005E0648">
        <w:t xml:space="preserve"> </w:t>
      </w:r>
      <w:r w:rsidR="005E0648">
        <w:t>for relevant spill size classes</w:t>
      </w:r>
      <w:r>
        <w:t>,</w:t>
      </w:r>
      <w:r w:rsidR="00E718BF">
        <w:t xml:space="preserve"> </w:t>
      </w:r>
      <w:r>
        <w:t>U.S. and Alaska North Slope tankers, and U.S. barges u</w:t>
      </w:r>
      <w:r w:rsidR="005E0648">
        <w:t>s</w:t>
      </w:r>
      <w:r>
        <w:t xml:space="preserve">ing the produced volume exposure variable along with any alternative exposure variables determined to be appropriately suited. </w:t>
      </w:r>
      <w:r w:rsidR="005E0648">
        <w:t>The analysis should evaluate</w:t>
      </w:r>
      <w:r w:rsidR="00061433">
        <w:t xml:space="preserve"> and analyze spill </w:t>
      </w:r>
      <w:r w:rsidR="005E0648">
        <w:t>and spill rate data</w:t>
      </w:r>
      <w:r w:rsidR="00061433">
        <w:t xml:space="preserve"> to confirm </w:t>
      </w:r>
      <w:r w:rsidR="0012423D">
        <w:t xml:space="preserve">that </w:t>
      </w:r>
      <w:r w:rsidR="00061433">
        <w:t>observations are random and independent.</w:t>
      </w:r>
      <w:r w:rsidR="00D75C90" w:rsidRPr="00D75C90">
        <w:t xml:space="preserve"> </w:t>
      </w:r>
      <w:r w:rsidR="00D75C90">
        <w:t>Confidence intervals for spill rate</w:t>
      </w:r>
      <w:r w:rsidR="00E718BF">
        <w:t>s</w:t>
      </w:r>
      <w:r w:rsidR="00D75C90">
        <w:t xml:space="preserve"> </w:t>
      </w:r>
      <w:r w:rsidR="00E718BF">
        <w:t xml:space="preserve">should be calculated </w:t>
      </w:r>
      <w:r w:rsidR="00D75C90">
        <w:t>using relevant formulas.</w:t>
      </w:r>
      <w:r w:rsidR="002A51CC">
        <w:t xml:space="preserve"> </w:t>
      </w:r>
    </w:p>
    <w:p w14:paraId="12AA41A2" w14:textId="77777777" w:rsidR="002A51CC" w:rsidRDefault="002A51CC" w:rsidP="00271E8B"/>
    <w:p w14:paraId="73D31CC2" w14:textId="7649F841" w:rsidR="0084145B" w:rsidRPr="00A92D0F" w:rsidRDefault="00AB76E6" w:rsidP="00271E8B">
      <w:r>
        <w:t>The oil spill rates will be analyzed for two periods: the entire period of available data (1964 – 2024</w:t>
      </w:r>
      <w:r w:rsidR="0084145B">
        <w:t>)</w:t>
      </w:r>
      <w:r>
        <w:t xml:space="preserve"> and </w:t>
      </w:r>
      <w:r w:rsidR="0084145B">
        <w:t>the latest 15 years (</w:t>
      </w:r>
      <w:r>
        <w:t>2010</w:t>
      </w:r>
      <w:r w:rsidR="009211E0">
        <w:t>–</w:t>
      </w:r>
      <w:r w:rsidR="0084145B">
        <w:t xml:space="preserve">2024). If </w:t>
      </w:r>
      <w:r w:rsidR="009211E0">
        <w:t xml:space="preserve">calendar year </w:t>
      </w:r>
      <w:r w:rsidR="0084145B">
        <w:t xml:space="preserve">2025 data </w:t>
      </w:r>
      <w:r w:rsidR="00AD697C">
        <w:t>becomes</w:t>
      </w:r>
      <w:r w:rsidR="0084145B">
        <w:t xml:space="preserve"> available for this study</w:t>
      </w:r>
      <w:r w:rsidR="00F80A3E" w:rsidRPr="00F80A3E">
        <w:t xml:space="preserve"> </w:t>
      </w:r>
      <w:r w:rsidR="00F80A3E">
        <w:t>in time</w:t>
      </w:r>
      <w:r w:rsidR="0084145B">
        <w:t>, the latest 15 years will be 2011</w:t>
      </w:r>
      <w:r w:rsidR="009211E0">
        <w:t>–</w:t>
      </w:r>
      <w:r w:rsidR="0084145B">
        <w:t xml:space="preserve">2025. Additionally, the oil spill rates will be analyzed in the Gulf of Mexico region. </w:t>
      </w:r>
    </w:p>
    <w:p w14:paraId="49B065F3" w14:textId="77777777" w:rsidR="00266D28" w:rsidRDefault="00266D28" w:rsidP="00266D28">
      <w:pPr>
        <w:rPr>
          <w:b/>
        </w:rPr>
      </w:pPr>
    </w:p>
    <w:p w14:paraId="0F43F7AB" w14:textId="3602D8D8" w:rsidR="00266D28" w:rsidRDefault="00850404" w:rsidP="00266D28">
      <w:pPr>
        <w:rPr>
          <w:b/>
        </w:rPr>
      </w:pPr>
      <w:r>
        <w:rPr>
          <w:b/>
        </w:rPr>
        <w:t>B</w:t>
      </w:r>
      <w:r w:rsidR="00266D28">
        <w:rPr>
          <w:b/>
        </w:rPr>
        <w:t>.3.4</w:t>
      </w:r>
      <w:r w:rsidR="00266D28">
        <w:rPr>
          <w:b/>
        </w:rPr>
        <w:tab/>
        <w:t>Task 4: Analyses on oil spill trend and casual factors</w:t>
      </w:r>
    </w:p>
    <w:p w14:paraId="3D810D2C" w14:textId="136BBC11" w:rsidR="00266D28" w:rsidRDefault="00266D28" w:rsidP="00266D28">
      <w:r>
        <w:t>Analyze spill rates for relevant spill size classes over the entire record (1964 through 20</w:t>
      </w:r>
      <w:r w:rsidR="00FB4137">
        <w:t>24</w:t>
      </w:r>
      <w:r>
        <w:t xml:space="preserve">) for OCS platform and pipeline spills. Statistically evaluate and determine other appropriate timeframes for rate analyses within the available record. </w:t>
      </w:r>
      <w:r w:rsidR="0084145B">
        <w:t xml:space="preserve">The traditional methods (e.g., </w:t>
      </w:r>
      <w:r w:rsidR="00685831" w:rsidRPr="00685831">
        <w:t xml:space="preserve">Anderson </w:t>
      </w:r>
      <w:r w:rsidR="00685831">
        <w:t xml:space="preserve">et al. 2012; </w:t>
      </w:r>
      <w:r w:rsidR="0084145B">
        <w:t xml:space="preserve">ABS 2016) will be used to </w:t>
      </w:r>
      <w:r w:rsidR="0084145B" w:rsidRPr="0084145B">
        <w:t>identify oil spill trend</w:t>
      </w:r>
      <w:r w:rsidR="0084145B">
        <w:t>,</w:t>
      </w:r>
      <w:r w:rsidR="0084145B" w:rsidRPr="0084145B">
        <w:t xml:space="preserve"> patterns, </w:t>
      </w:r>
      <w:r w:rsidR="0084145B">
        <w:t>and</w:t>
      </w:r>
      <w:r w:rsidR="0084145B" w:rsidRPr="0084145B">
        <w:t xml:space="preserve"> casual factors</w:t>
      </w:r>
      <w:r w:rsidR="0084145B">
        <w:t xml:space="preserve">. </w:t>
      </w:r>
    </w:p>
    <w:p w14:paraId="3FADCFA9" w14:textId="77777777" w:rsidR="00632A84" w:rsidRDefault="00632A84" w:rsidP="00266D28"/>
    <w:p w14:paraId="1AD1BC85" w14:textId="4B8E51EB" w:rsidR="00632A84" w:rsidRDefault="00632A84" w:rsidP="00632A84">
      <w:r w:rsidRPr="00632A84">
        <w:t>While AI applications in market risk analysis are well-established, their use in oil spill risk analysis is still emerging.</w:t>
      </w:r>
      <w:r>
        <w:t xml:space="preserve"> </w:t>
      </w:r>
      <w:r w:rsidR="0084145B">
        <w:t>It is expected that m</w:t>
      </w:r>
      <w:r>
        <w:t xml:space="preserve">achine learning algorithms </w:t>
      </w:r>
      <w:r w:rsidR="0084145B">
        <w:t>should be applied to</w:t>
      </w:r>
      <w:r>
        <w:t xml:space="preserve"> identify oil spill trend and patterns, assess casual factors, and optimize risk mitigation strategies.</w:t>
      </w:r>
      <w:r w:rsidR="00F80A3E">
        <w:t xml:space="preserve"> </w:t>
      </w:r>
      <w:r w:rsidR="0012423D">
        <w:t>A</w:t>
      </w:r>
      <w:r w:rsidR="00F80A3E">
        <w:t>lternatives should be presented for BOEM review and approval.</w:t>
      </w:r>
    </w:p>
    <w:p w14:paraId="1D20CD7E" w14:textId="1BFEBB89" w:rsidR="00632A84" w:rsidRPr="00726231" w:rsidRDefault="00632A84" w:rsidP="00632A84"/>
    <w:p w14:paraId="3DC694D0" w14:textId="3F7A9D48" w:rsidR="001D5B7A" w:rsidRPr="00685831" w:rsidRDefault="00850404" w:rsidP="001D5B7A">
      <w:pPr>
        <w:rPr>
          <w:b/>
          <w:vertAlign w:val="superscript"/>
        </w:rPr>
      </w:pPr>
      <w:r>
        <w:rPr>
          <w:b/>
        </w:rPr>
        <w:t>B</w:t>
      </w:r>
      <w:r w:rsidR="001D5B7A">
        <w:rPr>
          <w:b/>
        </w:rPr>
        <w:t>.3.</w:t>
      </w:r>
      <w:r w:rsidR="00266D28">
        <w:rPr>
          <w:b/>
        </w:rPr>
        <w:t>5</w:t>
      </w:r>
      <w:r w:rsidR="001D5B7A">
        <w:rPr>
          <w:b/>
        </w:rPr>
        <w:tab/>
      </w:r>
      <w:bookmarkStart w:id="0" w:name="_Hlk159831890"/>
      <w:r w:rsidR="001D5B7A">
        <w:rPr>
          <w:b/>
        </w:rPr>
        <w:t xml:space="preserve">Task </w:t>
      </w:r>
      <w:r w:rsidR="00266D28">
        <w:rPr>
          <w:b/>
        </w:rPr>
        <w:t>5</w:t>
      </w:r>
      <w:r w:rsidR="001D5B7A">
        <w:rPr>
          <w:b/>
        </w:rPr>
        <w:t xml:space="preserve">: Oil </w:t>
      </w:r>
      <w:r w:rsidR="00511454">
        <w:rPr>
          <w:b/>
        </w:rPr>
        <w:t>s</w:t>
      </w:r>
      <w:r w:rsidR="001D5B7A">
        <w:rPr>
          <w:b/>
        </w:rPr>
        <w:t xml:space="preserve">pill </w:t>
      </w:r>
      <w:r w:rsidR="00511454">
        <w:rPr>
          <w:b/>
        </w:rPr>
        <w:t>i</w:t>
      </w:r>
      <w:r w:rsidR="001D5B7A">
        <w:rPr>
          <w:b/>
        </w:rPr>
        <w:t xml:space="preserve">nformation for </w:t>
      </w:r>
      <w:r w:rsidR="001D5B7A" w:rsidRPr="001D5B7A">
        <w:rPr>
          <w:b/>
        </w:rPr>
        <w:t>OECM</w:t>
      </w:r>
      <w:bookmarkEnd w:id="0"/>
    </w:p>
    <w:p w14:paraId="070428F0" w14:textId="77777777" w:rsidR="00685831" w:rsidRDefault="00685831" w:rsidP="001D5B7A"/>
    <w:p w14:paraId="158FF2AA" w14:textId="38569614" w:rsidR="00685831" w:rsidRDefault="001D5B7A" w:rsidP="001D5B7A">
      <w:r>
        <w:t xml:space="preserve">BOEM’s Offshore Environmental Cost Model (OECM) </w:t>
      </w:r>
      <w:r w:rsidR="00E90BD4">
        <w:t>(</w:t>
      </w:r>
      <w:r w:rsidR="00E90BD4" w:rsidRPr="00E90BD4">
        <w:t>Industrial Economics Inc. 2023</w:t>
      </w:r>
      <w:r w:rsidR="00E90BD4">
        <w:t xml:space="preserve">) </w:t>
      </w:r>
      <w:r>
        <w:t>uses estimates of mean spill rate (</w:t>
      </w:r>
      <w:proofErr w:type="spellStart"/>
      <w:r>
        <w:t>bbl</w:t>
      </w:r>
      <w:proofErr w:type="spellEnd"/>
      <w:r>
        <w:t>/</w:t>
      </w:r>
      <w:proofErr w:type="spellStart"/>
      <w:r>
        <w:t>bbl</w:t>
      </w:r>
      <w:proofErr w:type="spellEnd"/>
      <w:r>
        <w:t xml:space="preserve"> produced or transported), mean spill size, and spill class as a percentage of total spills for </w:t>
      </w:r>
      <w:r w:rsidR="00F80A3E">
        <w:t>five</w:t>
      </w:r>
      <w:r>
        <w:t xml:space="preserve"> different categories: platforms, OCS pipelines, OCS vessels, crude oil </w:t>
      </w:r>
      <w:r w:rsidR="00F80A3E">
        <w:t>and</w:t>
      </w:r>
      <w:r>
        <w:t xml:space="preserve"> gas tankers</w:t>
      </w:r>
      <w:r w:rsidR="00F80A3E">
        <w:t>,</w:t>
      </w:r>
      <w:r>
        <w:t xml:space="preserve"> and refined oil </w:t>
      </w:r>
      <w:r w:rsidR="00F80A3E">
        <w:t>and</w:t>
      </w:r>
      <w:r>
        <w:t xml:space="preserve"> gas tankers</w:t>
      </w:r>
      <w:r w:rsidR="00F80A3E">
        <w:t>. The</w:t>
      </w:r>
      <w:r>
        <w:t xml:space="preserve"> two different oil types </w:t>
      </w:r>
      <w:r w:rsidR="00F80A3E">
        <w:t>are</w:t>
      </w:r>
      <w:r>
        <w:t xml:space="preserve"> crude and diesel. These data are important inputs to the OECM, which is integral to the Net Benefits analysis that supports the development of the National Outer Continental Shelf Oil and Gas Leasing Program. </w:t>
      </w:r>
      <w:r w:rsidR="00712934">
        <w:t>The analysis will be conducted using two periods of data sets</w:t>
      </w:r>
      <w:r w:rsidR="00712934" w:rsidRPr="00712934">
        <w:t>: extended 1964-2024 (60 years) and recent 2004-2024 (20 years)</w:t>
      </w:r>
      <w:r w:rsidR="00712934">
        <w:t xml:space="preserve">. </w:t>
      </w:r>
      <w:r w:rsidR="002A51CC">
        <w:t xml:space="preserve">The </w:t>
      </w:r>
      <w:r w:rsidR="00297298">
        <w:t>area</w:t>
      </w:r>
      <w:r w:rsidR="002A51CC">
        <w:t xml:space="preserve"> of the oil spill data for this analysis will be all regions in the OCS. </w:t>
      </w:r>
      <w:r w:rsidR="00712934">
        <w:t xml:space="preserve">The data used in the analysis will also be provided to BOEM for future analysis. </w:t>
      </w:r>
    </w:p>
    <w:p w14:paraId="7090D05B" w14:textId="77777777" w:rsidR="001D5B7A" w:rsidRDefault="001D5B7A" w:rsidP="001D5B7A"/>
    <w:p w14:paraId="3B449A15" w14:textId="1FD2D4E6" w:rsidR="002A51CC" w:rsidRDefault="001D5B7A" w:rsidP="001D5B7A">
      <w:r>
        <w:t>An example screenshot from the OECM</w:t>
      </w:r>
      <w:r w:rsidR="00FB4137">
        <w:t xml:space="preserve"> </w:t>
      </w:r>
      <w:r>
        <w:t>illustrates the required information for OCS platforms (oil source) on the spill rate (</w:t>
      </w:r>
      <w:proofErr w:type="spellStart"/>
      <w:r>
        <w:t>bbl</w:t>
      </w:r>
      <w:proofErr w:type="spellEnd"/>
      <w:r>
        <w:t xml:space="preserve"> spilled per </w:t>
      </w:r>
      <w:proofErr w:type="spellStart"/>
      <w:r>
        <w:t>bbl</w:t>
      </w:r>
      <w:proofErr w:type="spellEnd"/>
      <w:r>
        <w:t xml:space="preserve"> produced or transported), mean spill size, and the distribution of spills across spill size classes for the crude oil type.</w:t>
      </w:r>
      <w:r w:rsidR="002A51CC">
        <w:t xml:space="preserve"> </w:t>
      </w:r>
      <w:r w:rsidR="00C75B77">
        <w:t>More specifically, the oil sources include</w:t>
      </w:r>
      <w:r w:rsidR="002A51CC">
        <w:t xml:space="preserve"> five categories:</w:t>
      </w:r>
      <w:r w:rsidR="002A51CC" w:rsidRPr="002A51CC">
        <w:t xml:space="preserve"> platforms, OCS pipelines, OCS vessels, crude oil</w:t>
      </w:r>
      <w:r w:rsidR="002A51CC">
        <w:t xml:space="preserve"> tankers,</w:t>
      </w:r>
      <w:r w:rsidR="002A51CC" w:rsidRPr="002A51CC">
        <w:t xml:space="preserve"> </w:t>
      </w:r>
      <w:r w:rsidR="002A51CC">
        <w:t>and</w:t>
      </w:r>
      <w:r w:rsidR="002A51CC" w:rsidRPr="002A51CC">
        <w:t xml:space="preserve"> gas tankers</w:t>
      </w:r>
      <w:r w:rsidR="00C75B77">
        <w:t>. The oil type include</w:t>
      </w:r>
      <w:r w:rsidR="002A51CC">
        <w:t>s two types</w:t>
      </w:r>
      <w:r w:rsidR="00C75B77">
        <w:t xml:space="preserve">: </w:t>
      </w:r>
      <w:r w:rsidR="002A51CC" w:rsidRPr="002A51CC">
        <w:t>crude and diesel</w:t>
      </w:r>
      <w:r w:rsidR="00C75B77">
        <w:t xml:space="preserve">. </w:t>
      </w:r>
    </w:p>
    <w:p w14:paraId="6171BBA1" w14:textId="77777777" w:rsidR="002A51CC" w:rsidRDefault="002A51CC" w:rsidP="001D5B7A"/>
    <w:p w14:paraId="52FF555B" w14:textId="10A8DE90" w:rsidR="00C75B77" w:rsidRDefault="00C75B77" w:rsidP="001D5B7A">
      <w:r>
        <w:t xml:space="preserve">The oil spill size classes for different oil sources and oil types include: </w:t>
      </w:r>
      <w:r w:rsidR="00F80A3E">
        <w:t>p</w:t>
      </w:r>
      <w:r w:rsidR="002A51CC" w:rsidRPr="002A51CC">
        <w:t xml:space="preserve">latforms, OCS pipelines, and OCS Vessels are subdivided in to 5 spill sizes (very small, small, medium, large, and very large) defined as: (a) 1 to 10 </w:t>
      </w:r>
      <w:proofErr w:type="spellStart"/>
      <w:r w:rsidR="002A51CC" w:rsidRPr="002A51CC">
        <w:t>bbls</w:t>
      </w:r>
      <w:proofErr w:type="spellEnd"/>
      <w:r w:rsidR="002A51CC" w:rsidRPr="002A51CC">
        <w:t xml:space="preserve">; 11 to 100 </w:t>
      </w:r>
      <w:proofErr w:type="spellStart"/>
      <w:r w:rsidR="002A51CC" w:rsidRPr="002A51CC">
        <w:t>bbls</w:t>
      </w:r>
      <w:proofErr w:type="spellEnd"/>
      <w:r w:rsidR="002A51CC" w:rsidRPr="002A51CC">
        <w:t xml:space="preserve">; 101 to 1,000 </w:t>
      </w:r>
      <w:proofErr w:type="spellStart"/>
      <w:r w:rsidR="002A51CC" w:rsidRPr="002A51CC">
        <w:t>bbls</w:t>
      </w:r>
      <w:proofErr w:type="spellEnd"/>
      <w:r w:rsidR="002A51CC" w:rsidRPr="002A51CC">
        <w:t xml:space="preserve">; 1,001 to 10,000 </w:t>
      </w:r>
      <w:proofErr w:type="spellStart"/>
      <w:r w:rsidR="002A51CC" w:rsidRPr="002A51CC">
        <w:t>bbls</w:t>
      </w:r>
      <w:proofErr w:type="spellEnd"/>
      <w:r w:rsidR="002A51CC" w:rsidRPr="002A51CC">
        <w:t xml:space="preserve">; and </w:t>
      </w:r>
      <w:r w:rsidR="002A51CC" w:rsidRPr="002A51CC">
        <w:lastRenderedPageBreak/>
        <w:t xml:space="preserve">10,001 to 100,000 </w:t>
      </w:r>
      <w:proofErr w:type="spellStart"/>
      <w:r w:rsidR="002A51CC" w:rsidRPr="002A51CC">
        <w:t>bbls</w:t>
      </w:r>
      <w:proofErr w:type="spellEnd"/>
      <w:r w:rsidR="002A51CC" w:rsidRPr="002A51CC">
        <w:t xml:space="preserve"> for crude oil; and (b) 1 </w:t>
      </w:r>
      <w:proofErr w:type="spellStart"/>
      <w:r w:rsidR="002A51CC" w:rsidRPr="002A51CC">
        <w:t>bbl</w:t>
      </w:r>
      <w:proofErr w:type="spellEnd"/>
      <w:r w:rsidR="002A51CC" w:rsidRPr="002A51CC">
        <w:t xml:space="preserve">; 2 to 10 </w:t>
      </w:r>
      <w:proofErr w:type="spellStart"/>
      <w:r w:rsidR="002A51CC" w:rsidRPr="002A51CC">
        <w:t>bbls</w:t>
      </w:r>
      <w:proofErr w:type="spellEnd"/>
      <w:r w:rsidR="002A51CC" w:rsidRPr="002A51CC">
        <w:t xml:space="preserve">; 11 to 100 </w:t>
      </w:r>
      <w:proofErr w:type="spellStart"/>
      <w:r w:rsidR="002A51CC" w:rsidRPr="002A51CC">
        <w:t>bbls</w:t>
      </w:r>
      <w:proofErr w:type="spellEnd"/>
      <w:r w:rsidR="002A51CC" w:rsidRPr="002A51CC">
        <w:t xml:space="preserve">; 101 to 1,000 </w:t>
      </w:r>
      <w:proofErr w:type="spellStart"/>
      <w:r w:rsidR="002A51CC" w:rsidRPr="002A51CC">
        <w:t>bbls</w:t>
      </w:r>
      <w:proofErr w:type="spellEnd"/>
      <w:r w:rsidR="002A51CC" w:rsidRPr="002A51CC">
        <w:t xml:space="preserve">; and 1,001 to 3,600 </w:t>
      </w:r>
      <w:proofErr w:type="spellStart"/>
      <w:r w:rsidR="002A51CC" w:rsidRPr="002A51CC">
        <w:t>bbls</w:t>
      </w:r>
      <w:proofErr w:type="spellEnd"/>
      <w:r w:rsidR="002A51CC" w:rsidRPr="002A51CC">
        <w:t xml:space="preserve"> for diesel.</w:t>
      </w:r>
      <w:r w:rsidR="002A51CC">
        <w:t xml:space="preserve"> </w:t>
      </w:r>
      <w:r w:rsidR="00685831" w:rsidRPr="00685831">
        <w:t xml:space="preserve">Because of </w:t>
      </w:r>
      <w:r w:rsidR="00685831">
        <w:t>OECM’s</w:t>
      </w:r>
      <w:r w:rsidR="00685831" w:rsidRPr="00685831">
        <w:t xml:space="preserve"> unique application, the definitions of oil spill sizes </w:t>
      </w:r>
      <w:r w:rsidR="00685831">
        <w:t xml:space="preserve">in Task 5 </w:t>
      </w:r>
      <w:r w:rsidR="00685831" w:rsidRPr="00685831">
        <w:t xml:space="preserve">are different from the ones in </w:t>
      </w:r>
      <w:r w:rsidR="00685831">
        <w:t>oil spill risk</w:t>
      </w:r>
      <w:r w:rsidR="00685831" w:rsidRPr="00685831">
        <w:t xml:space="preserve"> analys</w:t>
      </w:r>
      <w:r w:rsidR="00685831">
        <w:t>es</w:t>
      </w:r>
      <w:r w:rsidR="00685831" w:rsidRPr="00685831">
        <w:t xml:space="preserve"> (e.g</w:t>
      </w:r>
      <w:r w:rsidR="00685831">
        <w:t>.</w:t>
      </w:r>
      <w:r w:rsidR="00685831" w:rsidRPr="00685831">
        <w:t>, Anderson et al. 2012; ABS 2016</w:t>
      </w:r>
      <w:r w:rsidR="00685831">
        <w:t xml:space="preserve">; </w:t>
      </w:r>
      <w:r w:rsidR="00685831" w:rsidRPr="00685831">
        <w:t>Ji and Shiff 2023).</w:t>
      </w:r>
    </w:p>
    <w:p w14:paraId="7709DEA1" w14:textId="77777777" w:rsidR="002A51CC" w:rsidRDefault="002A51CC" w:rsidP="001D5B7A"/>
    <w:p w14:paraId="2FDB8965" w14:textId="352CB9F4" w:rsidR="001D5B7A" w:rsidRDefault="002A51CC" w:rsidP="001D5B7A">
      <w:r w:rsidRPr="002A51CC">
        <w:t xml:space="preserve">Crude and refined oil and gas tankers are subdivided in to 6 spill sizes (very small, small, medium, large, very large, and </w:t>
      </w:r>
      <w:proofErr w:type="spellStart"/>
      <w:r w:rsidRPr="002A51CC">
        <w:t>extra large</w:t>
      </w:r>
      <w:proofErr w:type="spellEnd"/>
      <w:r w:rsidRPr="002A51CC">
        <w:t xml:space="preserve">) defined as: 0.1 to 10 </w:t>
      </w:r>
      <w:proofErr w:type="spellStart"/>
      <w:r w:rsidRPr="002A51CC">
        <w:t>bbls</w:t>
      </w:r>
      <w:proofErr w:type="spellEnd"/>
      <w:r w:rsidRPr="002A51CC">
        <w:t xml:space="preserve">; 10.1 to 100 </w:t>
      </w:r>
      <w:proofErr w:type="spellStart"/>
      <w:r w:rsidRPr="002A51CC">
        <w:t>bbls</w:t>
      </w:r>
      <w:proofErr w:type="spellEnd"/>
      <w:r w:rsidRPr="002A51CC">
        <w:t xml:space="preserve">; 101 to 1,001 </w:t>
      </w:r>
      <w:proofErr w:type="spellStart"/>
      <w:r w:rsidRPr="002A51CC">
        <w:t>bbls</w:t>
      </w:r>
      <w:proofErr w:type="spellEnd"/>
      <w:r w:rsidRPr="002A51CC">
        <w:t xml:space="preserve">; 1,001 to 10,000 </w:t>
      </w:r>
      <w:proofErr w:type="spellStart"/>
      <w:r w:rsidRPr="002A51CC">
        <w:t>bbls</w:t>
      </w:r>
      <w:proofErr w:type="spellEnd"/>
      <w:r w:rsidRPr="002A51CC">
        <w:t xml:space="preserve">; 10,001 to 100,000 </w:t>
      </w:r>
      <w:proofErr w:type="spellStart"/>
      <w:r w:rsidRPr="002A51CC">
        <w:t>bbls</w:t>
      </w:r>
      <w:proofErr w:type="spellEnd"/>
      <w:r w:rsidRPr="002A51CC">
        <w:t xml:space="preserve">; and over 100,000 </w:t>
      </w:r>
      <w:proofErr w:type="spellStart"/>
      <w:r w:rsidRPr="002A51CC">
        <w:t>bbls</w:t>
      </w:r>
      <w:proofErr w:type="spellEnd"/>
      <w:r w:rsidRPr="002A51CC">
        <w:t xml:space="preserve"> for both diesel and crude oil.</w:t>
      </w:r>
    </w:p>
    <w:p w14:paraId="2DB800DF" w14:textId="77777777" w:rsidR="008E6571" w:rsidRDefault="008E6571" w:rsidP="001D5B7A"/>
    <w:p w14:paraId="607B4B97" w14:textId="52DAA587" w:rsidR="007A1FFC" w:rsidRDefault="007A1FFC" w:rsidP="00256AE0">
      <w:pPr>
        <w:pStyle w:val="Caption"/>
        <w:keepNext/>
      </w:pPr>
      <w:r>
        <w:t xml:space="preserve">Table </w:t>
      </w:r>
      <w:r>
        <w:fldChar w:fldCharType="begin"/>
      </w:r>
      <w:r>
        <w:instrText xml:space="preserve"> SEQ Table \* ARABIC </w:instrText>
      </w:r>
      <w:r>
        <w:fldChar w:fldCharType="separate"/>
      </w:r>
      <w:r>
        <w:rPr>
          <w:noProof/>
        </w:rPr>
        <w:t>1</w:t>
      </w:r>
      <w:r>
        <w:fldChar w:fldCharType="end"/>
      </w:r>
      <w:r>
        <w:t xml:space="preserve"> Example of Data Categories and Table used for Platforms, Pipelines, and Vessels</w:t>
      </w:r>
    </w:p>
    <w:tbl>
      <w:tblPr>
        <w:tblW w:w="8460" w:type="dxa"/>
        <w:tblLook w:val="04A0" w:firstRow="1" w:lastRow="0" w:firstColumn="1" w:lastColumn="0" w:noHBand="0" w:noVBand="1"/>
      </w:tblPr>
      <w:tblGrid>
        <w:gridCol w:w="1780"/>
        <w:gridCol w:w="1680"/>
        <w:gridCol w:w="1700"/>
        <w:gridCol w:w="2040"/>
        <w:gridCol w:w="1260"/>
      </w:tblGrid>
      <w:tr w:rsidR="007A1FFC" w:rsidRPr="007A1FFC" w14:paraId="51AF0889" w14:textId="77777777" w:rsidTr="00BF15FA">
        <w:trPr>
          <w:trHeight w:val="330"/>
        </w:trPr>
        <w:tc>
          <w:tcPr>
            <w:tcW w:w="1780" w:type="dxa"/>
            <w:tcBorders>
              <w:top w:val="single" w:sz="8" w:space="0" w:color="auto"/>
              <w:left w:val="single" w:sz="8" w:space="0" w:color="auto"/>
              <w:bottom w:val="single" w:sz="8" w:space="0" w:color="auto"/>
              <w:right w:val="nil"/>
            </w:tcBorders>
            <w:shd w:val="clear" w:color="000000" w:fill="D9E1F2"/>
            <w:noWrap/>
            <w:vAlign w:val="bottom"/>
            <w:hideMark/>
          </w:tcPr>
          <w:p w14:paraId="04C266D9" w14:textId="77777777" w:rsidR="007A1FFC" w:rsidRPr="007A1FFC" w:rsidRDefault="007A1FFC" w:rsidP="00BF15FA">
            <w:pPr>
              <w:widowControl/>
              <w:rPr>
                <w:rFonts w:ascii="Calibri" w:hAnsi="Calibri" w:cs="Calibri"/>
                <w:b/>
                <w:bCs/>
                <w:color w:val="000000"/>
                <w:szCs w:val="24"/>
              </w:rPr>
            </w:pPr>
            <w:r w:rsidRPr="007A1FFC">
              <w:rPr>
                <w:rFonts w:ascii="Calibri" w:hAnsi="Calibri" w:cs="Calibri"/>
                <w:b/>
                <w:bCs/>
                <w:color w:val="000000"/>
                <w:szCs w:val="24"/>
              </w:rPr>
              <w:t xml:space="preserve">Oil Source: </w:t>
            </w:r>
          </w:p>
        </w:tc>
        <w:tc>
          <w:tcPr>
            <w:tcW w:w="1680" w:type="dxa"/>
            <w:tcBorders>
              <w:top w:val="single" w:sz="8" w:space="0" w:color="auto"/>
              <w:left w:val="nil"/>
              <w:bottom w:val="single" w:sz="8" w:space="0" w:color="auto"/>
              <w:right w:val="nil"/>
            </w:tcBorders>
            <w:shd w:val="clear" w:color="000000" w:fill="FFF2CC"/>
            <w:noWrap/>
            <w:vAlign w:val="bottom"/>
            <w:hideMark/>
          </w:tcPr>
          <w:p w14:paraId="30F049D5" w14:textId="77777777" w:rsidR="007A1FFC" w:rsidRPr="007A1FFC" w:rsidRDefault="007A1FFC" w:rsidP="00BF15FA">
            <w:pPr>
              <w:widowControl/>
              <w:rPr>
                <w:rFonts w:ascii="Calibri" w:hAnsi="Calibri" w:cs="Calibri"/>
                <w:color w:val="000000"/>
                <w:szCs w:val="24"/>
              </w:rPr>
            </w:pPr>
            <w:r w:rsidRPr="007A1FFC">
              <w:rPr>
                <w:rFonts w:ascii="Calibri" w:hAnsi="Calibri" w:cs="Calibri"/>
                <w:color w:val="000000"/>
                <w:szCs w:val="24"/>
              </w:rPr>
              <w:t> </w:t>
            </w:r>
          </w:p>
        </w:tc>
        <w:tc>
          <w:tcPr>
            <w:tcW w:w="1700" w:type="dxa"/>
            <w:tcBorders>
              <w:top w:val="single" w:sz="8" w:space="0" w:color="auto"/>
              <w:left w:val="nil"/>
              <w:bottom w:val="single" w:sz="8" w:space="0" w:color="auto"/>
              <w:right w:val="single" w:sz="4" w:space="0" w:color="auto"/>
            </w:tcBorders>
            <w:shd w:val="clear" w:color="000000" w:fill="D9E1F2"/>
            <w:noWrap/>
            <w:vAlign w:val="bottom"/>
            <w:hideMark/>
          </w:tcPr>
          <w:p w14:paraId="0D4D304C" w14:textId="77777777" w:rsidR="007A1FFC" w:rsidRPr="007A1FFC" w:rsidRDefault="007A1FFC" w:rsidP="00BF15FA">
            <w:pPr>
              <w:widowControl/>
              <w:rPr>
                <w:rFonts w:ascii="Calibri" w:hAnsi="Calibri" w:cs="Calibri"/>
                <w:b/>
                <w:bCs/>
                <w:color w:val="000000"/>
                <w:szCs w:val="24"/>
              </w:rPr>
            </w:pPr>
            <w:r w:rsidRPr="007A1FFC">
              <w:rPr>
                <w:rFonts w:ascii="Calibri" w:hAnsi="Calibri" w:cs="Calibri"/>
                <w:b/>
                <w:bCs/>
                <w:color w:val="000000"/>
                <w:szCs w:val="24"/>
              </w:rPr>
              <w:t>Oil Type:</w:t>
            </w:r>
          </w:p>
        </w:tc>
        <w:tc>
          <w:tcPr>
            <w:tcW w:w="2040" w:type="dxa"/>
            <w:tcBorders>
              <w:top w:val="single" w:sz="8" w:space="0" w:color="auto"/>
              <w:left w:val="nil"/>
              <w:bottom w:val="single" w:sz="8" w:space="0" w:color="auto"/>
              <w:right w:val="nil"/>
            </w:tcBorders>
            <w:shd w:val="clear" w:color="000000" w:fill="FFF2CC"/>
            <w:noWrap/>
            <w:vAlign w:val="bottom"/>
            <w:hideMark/>
          </w:tcPr>
          <w:p w14:paraId="654284C3" w14:textId="77777777" w:rsidR="007A1FFC" w:rsidRPr="007A1FFC" w:rsidRDefault="007A1FFC" w:rsidP="00BF15FA">
            <w:pPr>
              <w:widowControl/>
              <w:rPr>
                <w:rFonts w:ascii="Calibri" w:hAnsi="Calibri" w:cs="Calibri"/>
                <w:color w:val="000000"/>
                <w:szCs w:val="24"/>
              </w:rPr>
            </w:pPr>
            <w:r w:rsidRPr="007A1FFC">
              <w:rPr>
                <w:rFonts w:ascii="Calibri" w:hAnsi="Calibri" w:cs="Calibri"/>
                <w:color w:val="000000"/>
                <w:szCs w:val="24"/>
              </w:rPr>
              <w:t> </w:t>
            </w:r>
          </w:p>
        </w:tc>
        <w:tc>
          <w:tcPr>
            <w:tcW w:w="1260" w:type="dxa"/>
            <w:tcBorders>
              <w:top w:val="single" w:sz="8" w:space="0" w:color="auto"/>
              <w:left w:val="nil"/>
              <w:bottom w:val="single" w:sz="8" w:space="0" w:color="auto"/>
              <w:right w:val="single" w:sz="8" w:space="0" w:color="auto"/>
            </w:tcBorders>
            <w:shd w:val="clear" w:color="000000" w:fill="FFF2CC"/>
            <w:noWrap/>
            <w:vAlign w:val="bottom"/>
            <w:hideMark/>
          </w:tcPr>
          <w:p w14:paraId="43EC0CAC" w14:textId="77777777" w:rsidR="007A1FFC" w:rsidRPr="007A1FFC" w:rsidRDefault="007A1FFC" w:rsidP="00BF15FA">
            <w:pPr>
              <w:widowControl/>
              <w:rPr>
                <w:rFonts w:ascii="Calibri" w:hAnsi="Calibri" w:cs="Calibri"/>
                <w:color w:val="000000"/>
                <w:szCs w:val="24"/>
              </w:rPr>
            </w:pPr>
            <w:r w:rsidRPr="007A1FFC">
              <w:rPr>
                <w:rFonts w:ascii="Calibri" w:hAnsi="Calibri" w:cs="Calibri"/>
                <w:color w:val="000000"/>
                <w:szCs w:val="24"/>
              </w:rPr>
              <w:t> </w:t>
            </w:r>
          </w:p>
        </w:tc>
      </w:tr>
      <w:tr w:rsidR="007A1FFC" w:rsidRPr="007A1FFC" w14:paraId="6C42759A" w14:textId="77777777" w:rsidTr="00BF15FA">
        <w:trPr>
          <w:trHeight w:val="1200"/>
        </w:trPr>
        <w:tc>
          <w:tcPr>
            <w:tcW w:w="1780" w:type="dxa"/>
            <w:tcBorders>
              <w:top w:val="nil"/>
              <w:left w:val="single" w:sz="8" w:space="0" w:color="auto"/>
              <w:bottom w:val="single" w:sz="4" w:space="0" w:color="auto"/>
              <w:right w:val="nil"/>
            </w:tcBorders>
            <w:shd w:val="clear" w:color="auto" w:fill="auto"/>
            <w:noWrap/>
            <w:vAlign w:val="bottom"/>
            <w:hideMark/>
          </w:tcPr>
          <w:p w14:paraId="42E758BF" w14:textId="77777777" w:rsidR="007A1FFC" w:rsidRPr="007A1FFC" w:rsidRDefault="007A1FFC" w:rsidP="00BF15FA">
            <w:pPr>
              <w:widowControl/>
              <w:rPr>
                <w:rFonts w:ascii="Calibri" w:hAnsi="Calibri" w:cs="Calibri"/>
                <w:b/>
                <w:bCs/>
                <w:color w:val="000000"/>
                <w:sz w:val="22"/>
                <w:szCs w:val="22"/>
                <w:u w:val="single"/>
              </w:rPr>
            </w:pPr>
            <w:r w:rsidRPr="007A1FFC">
              <w:rPr>
                <w:rFonts w:ascii="Calibri" w:hAnsi="Calibri" w:cs="Calibri"/>
                <w:b/>
                <w:bCs/>
                <w:color w:val="000000"/>
                <w:sz w:val="22"/>
                <w:szCs w:val="22"/>
                <w:u w:val="single"/>
              </w:rPr>
              <w:t>Oil Spill Size Class</w:t>
            </w:r>
          </w:p>
        </w:tc>
        <w:tc>
          <w:tcPr>
            <w:tcW w:w="1680" w:type="dxa"/>
            <w:tcBorders>
              <w:top w:val="nil"/>
              <w:left w:val="nil"/>
              <w:bottom w:val="single" w:sz="4" w:space="0" w:color="auto"/>
              <w:right w:val="single" w:sz="4" w:space="0" w:color="auto"/>
            </w:tcBorders>
            <w:shd w:val="clear" w:color="auto" w:fill="auto"/>
            <w:vAlign w:val="bottom"/>
            <w:hideMark/>
          </w:tcPr>
          <w:p w14:paraId="40445D38" w14:textId="77777777" w:rsidR="007A1FFC" w:rsidRPr="007A1FFC" w:rsidRDefault="007A1FFC" w:rsidP="00BF15FA">
            <w:pPr>
              <w:widowControl/>
              <w:rPr>
                <w:rFonts w:ascii="Calibri" w:hAnsi="Calibri" w:cs="Calibri"/>
                <w:b/>
                <w:bCs/>
                <w:color w:val="000000"/>
                <w:sz w:val="22"/>
                <w:szCs w:val="22"/>
                <w:u w:val="single"/>
              </w:rPr>
            </w:pPr>
            <w:r w:rsidRPr="007A1FFC">
              <w:rPr>
                <w:rFonts w:ascii="Calibri" w:hAnsi="Calibri" w:cs="Calibri"/>
                <w:b/>
                <w:bCs/>
                <w:color w:val="000000"/>
                <w:sz w:val="22"/>
                <w:szCs w:val="22"/>
                <w:u w:val="single"/>
              </w:rPr>
              <w:t xml:space="preserve">Sill Size Range </w:t>
            </w:r>
            <w:r w:rsidRPr="007A1FFC">
              <w:rPr>
                <w:rFonts w:ascii="Calibri" w:hAnsi="Calibri" w:cs="Calibri"/>
                <w:b/>
                <w:bCs/>
                <w:color w:val="000000"/>
                <w:sz w:val="22"/>
                <w:szCs w:val="22"/>
                <w:u w:val="single"/>
              </w:rPr>
              <w:br/>
              <w:t>(</w:t>
            </w:r>
            <w:proofErr w:type="spellStart"/>
            <w:r w:rsidRPr="007A1FFC">
              <w:rPr>
                <w:rFonts w:ascii="Calibri" w:hAnsi="Calibri" w:cs="Calibri"/>
                <w:b/>
                <w:bCs/>
                <w:color w:val="000000"/>
                <w:sz w:val="22"/>
                <w:szCs w:val="22"/>
                <w:u w:val="single"/>
              </w:rPr>
              <w:t>bbl</w:t>
            </w:r>
            <w:proofErr w:type="spellEnd"/>
            <w:r w:rsidRPr="007A1FFC">
              <w:rPr>
                <w:rFonts w:ascii="Calibri" w:hAnsi="Calibri" w:cs="Calibri"/>
                <w:b/>
                <w:bCs/>
                <w:color w:val="000000"/>
                <w:sz w:val="22"/>
                <w:szCs w:val="22"/>
                <w:u w:val="single"/>
              </w:rPr>
              <w:t>)</w:t>
            </w:r>
          </w:p>
        </w:tc>
        <w:tc>
          <w:tcPr>
            <w:tcW w:w="1700" w:type="dxa"/>
            <w:tcBorders>
              <w:top w:val="nil"/>
              <w:left w:val="nil"/>
              <w:bottom w:val="single" w:sz="4" w:space="0" w:color="auto"/>
              <w:right w:val="single" w:sz="4" w:space="0" w:color="auto"/>
            </w:tcBorders>
            <w:shd w:val="clear" w:color="auto" w:fill="auto"/>
            <w:vAlign w:val="bottom"/>
            <w:hideMark/>
          </w:tcPr>
          <w:p w14:paraId="19B91246" w14:textId="77777777" w:rsidR="007A1FFC" w:rsidRPr="007A1FFC" w:rsidRDefault="007A1FFC" w:rsidP="00BF15FA">
            <w:pPr>
              <w:widowControl/>
              <w:rPr>
                <w:rFonts w:ascii="Calibri" w:hAnsi="Calibri" w:cs="Calibri"/>
                <w:b/>
                <w:bCs/>
                <w:color w:val="000000"/>
                <w:sz w:val="22"/>
                <w:szCs w:val="22"/>
                <w:u w:val="single"/>
              </w:rPr>
            </w:pPr>
            <w:r w:rsidRPr="007A1FFC">
              <w:rPr>
                <w:rFonts w:ascii="Calibri" w:hAnsi="Calibri" w:cs="Calibri"/>
                <w:b/>
                <w:bCs/>
                <w:color w:val="000000"/>
                <w:sz w:val="22"/>
                <w:szCs w:val="22"/>
                <w:u w:val="single"/>
              </w:rPr>
              <w:t xml:space="preserve">Mean Sill Rate </w:t>
            </w:r>
            <w:r w:rsidRPr="007A1FFC">
              <w:rPr>
                <w:rFonts w:ascii="Calibri" w:hAnsi="Calibri" w:cs="Calibri"/>
                <w:b/>
                <w:bCs/>
                <w:color w:val="000000"/>
                <w:sz w:val="22"/>
                <w:szCs w:val="22"/>
                <w:u w:val="single"/>
              </w:rPr>
              <w:br/>
              <w:t>(</w:t>
            </w:r>
            <w:proofErr w:type="spellStart"/>
            <w:r w:rsidRPr="007A1FFC">
              <w:rPr>
                <w:rFonts w:ascii="Calibri" w:hAnsi="Calibri" w:cs="Calibri"/>
                <w:b/>
                <w:bCs/>
                <w:color w:val="000000"/>
                <w:sz w:val="22"/>
                <w:szCs w:val="22"/>
                <w:u w:val="single"/>
              </w:rPr>
              <w:t>bbl</w:t>
            </w:r>
            <w:proofErr w:type="spellEnd"/>
            <w:r w:rsidRPr="007A1FFC">
              <w:rPr>
                <w:rFonts w:ascii="Calibri" w:hAnsi="Calibri" w:cs="Calibri"/>
                <w:b/>
                <w:bCs/>
                <w:color w:val="000000"/>
                <w:sz w:val="22"/>
                <w:szCs w:val="22"/>
                <w:u w:val="single"/>
              </w:rPr>
              <w:t>/</w:t>
            </w:r>
            <w:proofErr w:type="spellStart"/>
            <w:r w:rsidRPr="007A1FFC">
              <w:rPr>
                <w:rFonts w:ascii="Calibri" w:hAnsi="Calibri" w:cs="Calibri"/>
                <w:b/>
                <w:bCs/>
                <w:color w:val="000000"/>
                <w:sz w:val="22"/>
                <w:szCs w:val="22"/>
                <w:u w:val="single"/>
              </w:rPr>
              <w:t>bbl</w:t>
            </w:r>
            <w:proofErr w:type="spellEnd"/>
            <w:r w:rsidRPr="007A1FFC">
              <w:rPr>
                <w:rFonts w:ascii="Calibri" w:hAnsi="Calibri" w:cs="Calibri"/>
                <w:b/>
                <w:bCs/>
                <w:color w:val="000000"/>
                <w:sz w:val="22"/>
                <w:szCs w:val="22"/>
                <w:u w:val="single"/>
              </w:rPr>
              <w:t xml:space="preserve"> produced or </w:t>
            </w:r>
            <w:r w:rsidRPr="007A1FFC">
              <w:rPr>
                <w:rFonts w:ascii="Calibri" w:hAnsi="Calibri" w:cs="Calibri"/>
                <w:b/>
                <w:bCs/>
                <w:color w:val="000000"/>
                <w:sz w:val="22"/>
                <w:szCs w:val="22"/>
                <w:u w:val="single"/>
              </w:rPr>
              <w:br/>
              <w:t>transported)</w:t>
            </w:r>
          </w:p>
        </w:tc>
        <w:tc>
          <w:tcPr>
            <w:tcW w:w="2040" w:type="dxa"/>
            <w:tcBorders>
              <w:top w:val="nil"/>
              <w:left w:val="nil"/>
              <w:bottom w:val="single" w:sz="4" w:space="0" w:color="auto"/>
              <w:right w:val="single" w:sz="4" w:space="0" w:color="auto"/>
            </w:tcBorders>
            <w:shd w:val="clear" w:color="auto" w:fill="auto"/>
            <w:noWrap/>
            <w:vAlign w:val="bottom"/>
            <w:hideMark/>
          </w:tcPr>
          <w:p w14:paraId="6BFED49A" w14:textId="77777777" w:rsidR="007A1FFC" w:rsidRPr="007A1FFC" w:rsidRDefault="007A1FFC" w:rsidP="00BF15FA">
            <w:pPr>
              <w:widowControl/>
              <w:rPr>
                <w:rFonts w:ascii="Calibri" w:hAnsi="Calibri" w:cs="Calibri"/>
                <w:b/>
                <w:bCs/>
                <w:color w:val="000000"/>
                <w:sz w:val="22"/>
                <w:szCs w:val="22"/>
                <w:u w:val="single"/>
              </w:rPr>
            </w:pPr>
            <w:r w:rsidRPr="007A1FFC">
              <w:rPr>
                <w:rFonts w:ascii="Calibri" w:hAnsi="Calibri" w:cs="Calibri"/>
                <w:b/>
                <w:bCs/>
                <w:color w:val="000000"/>
                <w:sz w:val="22"/>
                <w:szCs w:val="22"/>
                <w:u w:val="single"/>
              </w:rPr>
              <w:t>Mean Spill Size (</w:t>
            </w:r>
            <w:proofErr w:type="spellStart"/>
            <w:r w:rsidRPr="007A1FFC">
              <w:rPr>
                <w:rFonts w:ascii="Calibri" w:hAnsi="Calibri" w:cs="Calibri"/>
                <w:b/>
                <w:bCs/>
                <w:color w:val="000000"/>
                <w:sz w:val="22"/>
                <w:szCs w:val="22"/>
                <w:u w:val="single"/>
              </w:rPr>
              <w:t>bbl</w:t>
            </w:r>
            <w:proofErr w:type="spellEnd"/>
            <w:r w:rsidRPr="007A1FFC">
              <w:rPr>
                <w:rFonts w:ascii="Calibri" w:hAnsi="Calibri" w:cs="Calibri"/>
                <w:b/>
                <w:bCs/>
                <w:color w:val="000000"/>
                <w:sz w:val="22"/>
                <w:szCs w:val="22"/>
                <w:u w:val="single"/>
              </w:rPr>
              <w:t>)</w:t>
            </w:r>
          </w:p>
        </w:tc>
        <w:tc>
          <w:tcPr>
            <w:tcW w:w="1260" w:type="dxa"/>
            <w:tcBorders>
              <w:top w:val="nil"/>
              <w:left w:val="nil"/>
              <w:bottom w:val="single" w:sz="4" w:space="0" w:color="auto"/>
              <w:right w:val="single" w:sz="8" w:space="0" w:color="auto"/>
            </w:tcBorders>
            <w:shd w:val="clear" w:color="auto" w:fill="auto"/>
            <w:vAlign w:val="bottom"/>
            <w:hideMark/>
          </w:tcPr>
          <w:p w14:paraId="2A2F1B99" w14:textId="77777777" w:rsidR="007A1FFC" w:rsidRPr="007A1FFC" w:rsidRDefault="007A1FFC" w:rsidP="00BF15FA">
            <w:pPr>
              <w:widowControl/>
              <w:rPr>
                <w:rFonts w:ascii="Calibri" w:hAnsi="Calibri" w:cs="Calibri"/>
                <w:b/>
                <w:bCs/>
                <w:color w:val="000000"/>
                <w:sz w:val="22"/>
                <w:szCs w:val="22"/>
                <w:u w:val="single"/>
              </w:rPr>
            </w:pPr>
            <w:r w:rsidRPr="007A1FFC">
              <w:rPr>
                <w:rFonts w:ascii="Calibri" w:hAnsi="Calibri" w:cs="Calibri"/>
                <w:b/>
                <w:bCs/>
                <w:color w:val="000000"/>
                <w:sz w:val="22"/>
                <w:szCs w:val="22"/>
                <w:u w:val="single"/>
              </w:rPr>
              <w:t xml:space="preserve">Spill Class as a </w:t>
            </w:r>
            <w:r w:rsidRPr="007A1FFC">
              <w:rPr>
                <w:rFonts w:ascii="Calibri" w:hAnsi="Calibri" w:cs="Calibri"/>
                <w:b/>
                <w:bCs/>
                <w:color w:val="000000"/>
                <w:sz w:val="22"/>
                <w:szCs w:val="22"/>
                <w:u w:val="single"/>
              </w:rPr>
              <w:br/>
              <w:t>% of Total Spills</w:t>
            </w:r>
          </w:p>
        </w:tc>
      </w:tr>
      <w:tr w:rsidR="007A1FFC" w:rsidRPr="007A1FFC" w14:paraId="7926B523" w14:textId="77777777" w:rsidTr="00BF15FA">
        <w:trPr>
          <w:trHeight w:val="300"/>
        </w:trPr>
        <w:tc>
          <w:tcPr>
            <w:tcW w:w="1780" w:type="dxa"/>
            <w:tcBorders>
              <w:top w:val="nil"/>
              <w:left w:val="single" w:sz="8" w:space="0" w:color="auto"/>
              <w:bottom w:val="single" w:sz="4" w:space="0" w:color="auto"/>
              <w:right w:val="nil"/>
            </w:tcBorders>
            <w:shd w:val="clear" w:color="auto" w:fill="auto"/>
            <w:noWrap/>
            <w:vAlign w:val="bottom"/>
            <w:hideMark/>
          </w:tcPr>
          <w:p w14:paraId="4CA6778D"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Very Small</w:t>
            </w:r>
          </w:p>
        </w:tc>
        <w:tc>
          <w:tcPr>
            <w:tcW w:w="1680" w:type="dxa"/>
            <w:tcBorders>
              <w:top w:val="nil"/>
              <w:left w:val="nil"/>
              <w:bottom w:val="single" w:sz="4" w:space="0" w:color="auto"/>
              <w:right w:val="single" w:sz="4" w:space="0" w:color="auto"/>
            </w:tcBorders>
            <w:shd w:val="clear" w:color="auto" w:fill="auto"/>
            <w:noWrap/>
            <w:vAlign w:val="bottom"/>
            <w:hideMark/>
          </w:tcPr>
          <w:p w14:paraId="29453790"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1</w:t>
            </w:r>
          </w:p>
        </w:tc>
        <w:tc>
          <w:tcPr>
            <w:tcW w:w="1700" w:type="dxa"/>
            <w:tcBorders>
              <w:top w:val="nil"/>
              <w:left w:val="nil"/>
              <w:bottom w:val="single" w:sz="4" w:space="0" w:color="auto"/>
              <w:right w:val="single" w:sz="4" w:space="0" w:color="auto"/>
            </w:tcBorders>
            <w:shd w:val="clear" w:color="auto" w:fill="auto"/>
            <w:noWrap/>
            <w:vAlign w:val="bottom"/>
            <w:hideMark/>
          </w:tcPr>
          <w:p w14:paraId="5F7152E5"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 </w:t>
            </w:r>
          </w:p>
        </w:tc>
        <w:tc>
          <w:tcPr>
            <w:tcW w:w="2040" w:type="dxa"/>
            <w:tcBorders>
              <w:top w:val="nil"/>
              <w:left w:val="nil"/>
              <w:bottom w:val="single" w:sz="4" w:space="0" w:color="auto"/>
              <w:right w:val="single" w:sz="4" w:space="0" w:color="auto"/>
            </w:tcBorders>
            <w:shd w:val="clear" w:color="auto" w:fill="auto"/>
            <w:noWrap/>
            <w:vAlign w:val="bottom"/>
            <w:hideMark/>
          </w:tcPr>
          <w:p w14:paraId="19861541"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 </w:t>
            </w:r>
          </w:p>
        </w:tc>
        <w:tc>
          <w:tcPr>
            <w:tcW w:w="1260" w:type="dxa"/>
            <w:tcBorders>
              <w:top w:val="nil"/>
              <w:left w:val="nil"/>
              <w:bottom w:val="single" w:sz="4" w:space="0" w:color="auto"/>
              <w:right w:val="single" w:sz="8" w:space="0" w:color="auto"/>
            </w:tcBorders>
            <w:shd w:val="clear" w:color="auto" w:fill="auto"/>
            <w:noWrap/>
            <w:vAlign w:val="bottom"/>
            <w:hideMark/>
          </w:tcPr>
          <w:p w14:paraId="47EA0DF8"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 </w:t>
            </w:r>
          </w:p>
        </w:tc>
      </w:tr>
      <w:tr w:rsidR="007A1FFC" w:rsidRPr="007A1FFC" w14:paraId="231C4A43" w14:textId="77777777" w:rsidTr="00BF15FA">
        <w:trPr>
          <w:trHeight w:val="300"/>
        </w:trPr>
        <w:tc>
          <w:tcPr>
            <w:tcW w:w="1780" w:type="dxa"/>
            <w:tcBorders>
              <w:top w:val="nil"/>
              <w:left w:val="single" w:sz="8" w:space="0" w:color="auto"/>
              <w:bottom w:val="single" w:sz="4" w:space="0" w:color="auto"/>
              <w:right w:val="nil"/>
            </w:tcBorders>
            <w:shd w:val="clear" w:color="auto" w:fill="auto"/>
            <w:noWrap/>
            <w:vAlign w:val="bottom"/>
            <w:hideMark/>
          </w:tcPr>
          <w:p w14:paraId="5CFFFBF2"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Small</w:t>
            </w:r>
          </w:p>
        </w:tc>
        <w:tc>
          <w:tcPr>
            <w:tcW w:w="1680" w:type="dxa"/>
            <w:tcBorders>
              <w:top w:val="nil"/>
              <w:left w:val="nil"/>
              <w:bottom w:val="single" w:sz="4" w:space="0" w:color="auto"/>
              <w:right w:val="single" w:sz="4" w:space="0" w:color="auto"/>
            </w:tcBorders>
            <w:shd w:val="clear" w:color="auto" w:fill="auto"/>
            <w:noWrap/>
            <w:vAlign w:val="bottom"/>
            <w:hideMark/>
          </w:tcPr>
          <w:p w14:paraId="6371530C"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2 to 10</w:t>
            </w:r>
          </w:p>
        </w:tc>
        <w:tc>
          <w:tcPr>
            <w:tcW w:w="1700" w:type="dxa"/>
            <w:tcBorders>
              <w:top w:val="nil"/>
              <w:left w:val="nil"/>
              <w:bottom w:val="single" w:sz="4" w:space="0" w:color="auto"/>
              <w:right w:val="single" w:sz="4" w:space="0" w:color="auto"/>
            </w:tcBorders>
            <w:shd w:val="clear" w:color="auto" w:fill="auto"/>
            <w:noWrap/>
            <w:vAlign w:val="bottom"/>
            <w:hideMark/>
          </w:tcPr>
          <w:p w14:paraId="0D8BCEED"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 </w:t>
            </w:r>
          </w:p>
        </w:tc>
        <w:tc>
          <w:tcPr>
            <w:tcW w:w="2040" w:type="dxa"/>
            <w:tcBorders>
              <w:top w:val="nil"/>
              <w:left w:val="nil"/>
              <w:bottom w:val="single" w:sz="4" w:space="0" w:color="auto"/>
              <w:right w:val="single" w:sz="4" w:space="0" w:color="auto"/>
            </w:tcBorders>
            <w:shd w:val="clear" w:color="auto" w:fill="auto"/>
            <w:noWrap/>
            <w:vAlign w:val="bottom"/>
            <w:hideMark/>
          </w:tcPr>
          <w:p w14:paraId="478E0C39"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 </w:t>
            </w:r>
          </w:p>
        </w:tc>
        <w:tc>
          <w:tcPr>
            <w:tcW w:w="1260" w:type="dxa"/>
            <w:tcBorders>
              <w:top w:val="nil"/>
              <w:left w:val="nil"/>
              <w:bottom w:val="single" w:sz="4" w:space="0" w:color="auto"/>
              <w:right w:val="single" w:sz="8" w:space="0" w:color="auto"/>
            </w:tcBorders>
            <w:shd w:val="clear" w:color="auto" w:fill="auto"/>
            <w:noWrap/>
            <w:vAlign w:val="bottom"/>
            <w:hideMark/>
          </w:tcPr>
          <w:p w14:paraId="2F77D467"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 </w:t>
            </w:r>
          </w:p>
        </w:tc>
      </w:tr>
      <w:tr w:rsidR="007A1FFC" w:rsidRPr="007A1FFC" w14:paraId="18682D84" w14:textId="77777777" w:rsidTr="00BF15FA">
        <w:trPr>
          <w:trHeight w:val="300"/>
        </w:trPr>
        <w:tc>
          <w:tcPr>
            <w:tcW w:w="1780" w:type="dxa"/>
            <w:tcBorders>
              <w:top w:val="nil"/>
              <w:left w:val="single" w:sz="8" w:space="0" w:color="auto"/>
              <w:bottom w:val="single" w:sz="4" w:space="0" w:color="auto"/>
              <w:right w:val="nil"/>
            </w:tcBorders>
            <w:shd w:val="clear" w:color="auto" w:fill="auto"/>
            <w:noWrap/>
            <w:vAlign w:val="bottom"/>
            <w:hideMark/>
          </w:tcPr>
          <w:p w14:paraId="0F59B3D3"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Medium</w:t>
            </w:r>
          </w:p>
        </w:tc>
        <w:tc>
          <w:tcPr>
            <w:tcW w:w="1680" w:type="dxa"/>
            <w:tcBorders>
              <w:top w:val="nil"/>
              <w:left w:val="nil"/>
              <w:bottom w:val="single" w:sz="4" w:space="0" w:color="auto"/>
              <w:right w:val="single" w:sz="4" w:space="0" w:color="auto"/>
            </w:tcBorders>
            <w:shd w:val="clear" w:color="auto" w:fill="auto"/>
            <w:noWrap/>
            <w:vAlign w:val="bottom"/>
            <w:hideMark/>
          </w:tcPr>
          <w:p w14:paraId="7F546410"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11 to 100</w:t>
            </w:r>
          </w:p>
        </w:tc>
        <w:tc>
          <w:tcPr>
            <w:tcW w:w="1700" w:type="dxa"/>
            <w:tcBorders>
              <w:top w:val="nil"/>
              <w:left w:val="nil"/>
              <w:bottom w:val="single" w:sz="4" w:space="0" w:color="auto"/>
              <w:right w:val="single" w:sz="4" w:space="0" w:color="auto"/>
            </w:tcBorders>
            <w:shd w:val="clear" w:color="auto" w:fill="auto"/>
            <w:noWrap/>
            <w:vAlign w:val="bottom"/>
            <w:hideMark/>
          </w:tcPr>
          <w:p w14:paraId="638FC5C7"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 </w:t>
            </w:r>
          </w:p>
        </w:tc>
        <w:tc>
          <w:tcPr>
            <w:tcW w:w="2040" w:type="dxa"/>
            <w:tcBorders>
              <w:top w:val="nil"/>
              <w:left w:val="nil"/>
              <w:bottom w:val="single" w:sz="4" w:space="0" w:color="auto"/>
              <w:right w:val="single" w:sz="4" w:space="0" w:color="auto"/>
            </w:tcBorders>
            <w:shd w:val="clear" w:color="auto" w:fill="auto"/>
            <w:noWrap/>
            <w:vAlign w:val="bottom"/>
            <w:hideMark/>
          </w:tcPr>
          <w:p w14:paraId="1DA348D3"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 </w:t>
            </w:r>
          </w:p>
        </w:tc>
        <w:tc>
          <w:tcPr>
            <w:tcW w:w="1260" w:type="dxa"/>
            <w:tcBorders>
              <w:top w:val="nil"/>
              <w:left w:val="nil"/>
              <w:bottom w:val="single" w:sz="4" w:space="0" w:color="auto"/>
              <w:right w:val="single" w:sz="8" w:space="0" w:color="auto"/>
            </w:tcBorders>
            <w:shd w:val="clear" w:color="auto" w:fill="auto"/>
            <w:noWrap/>
            <w:vAlign w:val="bottom"/>
            <w:hideMark/>
          </w:tcPr>
          <w:p w14:paraId="1C2D7EDA" w14:textId="77777777" w:rsidR="007A1FFC" w:rsidRPr="007A1FFC" w:rsidRDefault="007A1FFC" w:rsidP="00BF15FA">
            <w:pPr>
              <w:widowControl/>
              <w:jc w:val="right"/>
              <w:rPr>
                <w:rFonts w:ascii="Calibri" w:hAnsi="Calibri" w:cs="Calibri"/>
                <w:color w:val="000000"/>
                <w:sz w:val="22"/>
                <w:szCs w:val="22"/>
              </w:rPr>
            </w:pPr>
            <w:r w:rsidRPr="007A1FFC">
              <w:rPr>
                <w:rFonts w:ascii="Calibri" w:hAnsi="Calibri" w:cs="Calibri"/>
                <w:color w:val="000000"/>
                <w:sz w:val="22"/>
                <w:szCs w:val="22"/>
              </w:rPr>
              <w:t> </w:t>
            </w:r>
          </w:p>
        </w:tc>
      </w:tr>
      <w:tr w:rsidR="007A1FFC" w:rsidRPr="007A1FFC" w14:paraId="764C893B" w14:textId="77777777" w:rsidTr="00BF15FA">
        <w:trPr>
          <w:trHeight w:val="300"/>
        </w:trPr>
        <w:tc>
          <w:tcPr>
            <w:tcW w:w="1780" w:type="dxa"/>
            <w:tcBorders>
              <w:top w:val="nil"/>
              <w:left w:val="single" w:sz="8" w:space="0" w:color="auto"/>
              <w:bottom w:val="single" w:sz="4" w:space="0" w:color="auto"/>
              <w:right w:val="nil"/>
            </w:tcBorders>
            <w:shd w:val="clear" w:color="auto" w:fill="auto"/>
            <w:noWrap/>
            <w:vAlign w:val="bottom"/>
            <w:hideMark/>
          </w:tcPr>
          <w:p w14:paraId="6FA6DCE5"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Large</w:t>
            </w:r>
          </w:p>
        </w:tc>
        <w:tc>
          <w:tcPr>
            <w:tcW w:w="1680" w:type="dxa"/>
            <w:tcBorders>
              <w:top w:val="nil"/>
              <w:left w:val="nil"/>
              <w:bottom w:val="single" w:sz="4" w:space="0" w:color="auto"/>
              <w:right w:val="single" w:sz="4" w:space="0" w:color="auto"/>
            </w:tcBorders>
            <w:shd w:val="clear" w:color="auto" w:fill="auto"/>
            <w:noWrap/>
            <w:vAlign w:val="bottom"/>
            <w:hideMark/>
          </w:tcPr>
          <w:p w14:paraId="6F752304"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101 to 1,000</w:t>
            </w:r>
          </w:p>
        </w:tc>
        <w:tc>
          <w:tcPr>
            <w:tcW w:w="1700" w:type="dxa"/>
            <w:tcBorders>
              <w:top w:val="nil"/>
              <w:left w:val="nil"/>
              <w:bottom w:val="single" w:sz="4" w:space="0" w:color="auto"/>
              <w:right w:val="single" w:sz="4" w:space="0" w:color="auto"/>
            </w:tcBorders>
            <w:shd w:val="clear" w:color="auto" w:fill="auto"/>
            <w:noWrap/>
            <w:vAlign w:val="bottom"/>
            <w:hideMark/>
          </w:tcPr>
          <w:p w14:paraId="7BCD4AF5"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 </w:t>
            </w:r>
          </w:p>
        </w:tc>
        <w:tc>
          <w:tcPr>
            <w:tcW w:w="2040" w:type="dxa"/>
            <w:tcBorders>
              <w:top w:val="nil"/>
              <w:left w:val="nil"/>
              <w:bottom w:val="single" w:sz="4" w:space="0" w:color="auto"/>
              <w:right w:val="single" w:sz="4" w:space="0" w:color="auto"/>
            </w:tcBorders>
            <w:shd w:val="clear" w:color="auto" w:fill="auto"/>
            <w:noWrap/>
            <w:vAlign w:val="bottom"/>
            <w:hideMark/>
          </w:tcPr>
          <w:p w14:paraId="0DC1989C"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 </w:t>
            </w:r>
          </w:p>
        </w:tc>
        <w:tc>
          <w:tcPr>
            <w:tcW w:w="1260" w:type="dxa"/>
            <w:tcBorders>
              <w:top w:val="nil"/>
              <w:left w:val="nil"/>
              <w:bottom w:val="single" w:sz="4" w:space="0" w:color="auto"/>
              <w:right w:val="single" w:sz="8" w:space="0" w:color="auto"/>
            </w:tcBorders>
            <w:shd w:val="clear" w:color="auto" w:fill="auto"/>
            <w:noWrap/>
            <w:vAlign w:val="bottom"/>
            <w:hideMark/>
          </w:tcPr>
          <w:p w14:paraId="57085909"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 </w:t>
            </w:r>
          </w:p>
        </w:tc>
      </w:tr>
      <w:tr w:rsidR="007A1FFC" w:rsidRPr="007A1FFC" w14:paraId="2E937CDF" w14:textId="77777777" w:rsidTr="00BF15FA">
        <w:trPr>
          <w:trHeight w:val="315"/>
        </w:trPr>
        <w:tc>
          <w:tcPr>
            <w:tcW w:w="1780" w:type="dxa"/>
            <w:tcBorders>
              <w:top w:val="nil"/>
              <w:left w:val="single" w:sz="8" w:space="0" w:color="auto"/>
              <w:bottom w:val="single" w:sz="8" w:space="0" w:color="auto"/>
              <w:right w:val="nil"/>
            </w:tcBorders>
            <w:shd w:val="clear" w:color="auto" w:fill="auto"/>
            <w:noWrap/>
            <w:vAlign w:val="bottom"/>
            <w:hideMark/>
          </w:tcPr>
          <w:p w14:paraId="713989E7"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Very Large</w:t>
            </w:r>
          </w:p>
        </w:tc>
        <w:tc>
          <w:tcPr>
            <w:tcW w:w="1680" w:type="dxa"/>
            <w:tcBorders>
              <w:top w:val="nil"/>
              <w:left w:val="nil"/>
              <w:bottom w:val="single" w:sz="8" w:space="0" w:color="auto"/>
              <w:right w:val="single" w:sz="4" w:space="0" w:color="auto"/>
            </w:tcBorders>
            <w:shd w:val="clear" w:color="auto" w:fill="auto"/>
            <w:noWrap/>
            <w:vAlign w:val="bottom"/>
            <w:hideMark/>
          </w:tcPr>
          <w:p w14:paraId="476C4B4B"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1,001 to 3,600</w:t>
            </w:r>
          </w:p>
        </w:tc>
        <w:tc>
          <w:tcPr>
            <w:tcW w:w="1700" w:type="dxa"/>
            <w:tcBorders>
              <w:top w:val="nil"/>
              <w:left w:val="nil"/>
              <w:bottom w:val="single" w:sz="8" w:space="0" w:color="auto"/>
              <w:right w:val="single" w:sz="4" w:space="0" w:color="auto"/>
            </w:tcBorders>
            <w:shd w:val="clear" w:color="auto" w:fill="auto"/>
            <w:noWrap/>
            <w:vAlign w:val="bottom"/>
            <w:hideMark/>
          </w:tcPr>
          <w:p w14:paraId="20915723"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 </w:t>
            </w:r>
          </w:p>
        </w:tc>
        <w:tc>
          <w:tcPr>
            <w:tcW w:w="2040" w:type="dxa"/>
            <w:tcBorders>
              <w:top w:val="nil"/>
              <w:left w:val="nil"/>
              <w:bottom w:val="single" w:sz="8" w:space="0" w:color="auto"/>
              <w:right w:val="single" w:sz="4" w:space="0" w:color="auto"/>
            </w:tcBorders>
            <w:shd w:val="clear" w:color="auto" w:fill="auto"/>
            <w:noWrap/>
            <w:vAlign w:val="bottom"/>
            <w:hideMark/>
          </w:tcPr>
          <w:p w14:paraId="02C899DC"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 </w:t>
            </w:r>
          </w:p>
        </w:tc>
        <w:tc>
          <w:tcPr>
            <w:tcW w:w="1260" w:type="dxa"/>
            <w:tcBorders>
              <w:top w:val="nil"/>
              <w:left w:val="nil"/>
              <w:bottom w:val="single" w:sz="8" w:space="0" w:color="auto"/>
              <w:right w:val="single" w:sz="8" w:space="0" w:color="auto"/>
            </w:tcBorders>
            <w:shd w:val="clear" w:color="auto" w:fill="auto"/>
            <w:noWrap/>
            <w:vAlign w:val="bottom"/>
            <w:hideMark/>
          </w:tcPr>
          <w:p w14:paraId="64C32C9D" w14:textId="77777777" w:rsidR="007A1FFC" w:rsidRPr="007A1FFC" w:rsidRDefault="007A1FFC" w:rsidP="00BF15FA">
            <w:pPr>
              <w:widowControl/>
              <w:rPr>
                <w:rFonts w:ascii="Calibri" w:hAnsi="Calibri" w:cs="Calibri"/>
                <w:color w:val="000000"/>
                <w:sz w:val="22"/>
                <w:szCs w:val="22"/>
              </w:rPr>
            </w:pPr>
            <w:r w:rsidRPr="007A1FFC">
              <w:rPr>
                <w:rFonts w:ascii="Calibri" w:hAnsi="Calibri" w:cs="Calibri"/>
                <w:color w:val="000000"/>
                <w:sz w:val="22"/>
                <w:szCs w:val="22"/>
              </w:rPr>
              <w:t> </w:t>
            </w:r>
          </w:p>
        </w:tc>
      </w:tr>
    </w:tbl>
    <w:p w14:paraId="68F22A14" w14:textId="77777777" w:rsidR="007A1FFC" w:rsidRDefault="007A1FFC" w:rsidP="001D5B7A"/>
    <w:p w14:paraId="26AFA27B" w14:textId="556E8236" w:rsidR="007A1FFC" w:rsidRDefault="007A1FFC" w:rsidP="00256AE0">
      <w:pPr>
        <w:pStyle w:val="Caption"/>
        <w:keepNext/>
      </w:pPr>
      <w:r>
        <w:t xml:space="preserve">Table </w:t>
      </w:r>
      <w:r>
        <w:fldChar w:fldCharType="begin"/>
      </w:r>
      <w:r>
        <w:instrText xml:space="preserve"> SEQ Table \* ARABIC </w:instrText>
      </w:r>
      <w:r>
        <w:fldChar w:fldCharType="separate"/>
      </w:r>
      <w:r>
        <w:rPr>
          <w:noProof/>
        </w:rPr>
        <w:t>2</w:t>
      </w:r>
      <w:r>
        <w:fldChar w:fldCharType="end"/>
      </w:r>
      <w:r w:rsidRPr="00334ED9">
        <w:t xml:space="preserve">Example of </w:t>
      </w:r>
      <w:r>
        <w:t xml:space="preserve">Data Categories and Table </w:t>
      </w:r>
      <w:r w:rsidRPr="00334ED9">
        <w:t xml:space="preserve">used for Tankers (Note the </w:t>
      </w:r>
      <w:proofErr w:type="gramStart"/>
      <w:r w:rsidR="00256AE0">
        <w:t>E</w:t>
      </w:r>
      <w:r w:rsidR="00256AE0" w:rsidRPr="00334ED9">
        <w:t>xtra Large</w:t>
      </w:r>
      <w:proofErr w:type="gramEnd"/>
      <w:r>
        <w:t xml:space="preserve"> Spill Size row unique to Tankers)</w:t>
      </w:r>
    </w:p>
    <w:tbl>
      <w:tblPr>
        <w:tblW w:w="8460" w:type="dxa"/>
        <w:tblLook w:val="04A0" w:firstRow="1" w:lastRow="0" w:firstColumn="1" w:lastColumn="0" w:noHBand="0" w:noVBand="1"/>
      </w:tblPr>
      <w:tblGrid>
        <w:gridCol w:w="1780"/>
        <w:gridCol w:w="1680"/>
        <w:gridCol w:w="1700"/>
        <w:gridCol w:w="2040"/>
        <w:gridCol w:w="1260"/>
      </w:tblGrid>
      <w:tr w:rsidR="007A1FFC" w:rsidRPr="007A1FFC" w14:paraId="10956B47" w14:textId="77777777" w:rsidTr="007A1FFC">
        <w:trPr>
          <w:trHeight w:val="330"/>
        </w:trPr>
        <w:tc>
          <w:tcPr>
            <w:tcW w:w="1780" w:type="dxa"/>
            <w:tcBorders>
              <w:top w:val="single" w:sz="8" w:space="0" w:color="auto"/>
              <w:left w:val="single" w:sz="8" w:space="0" w:color="auto"/>
              <w:bottom w:val="single" w:sz="8" w:space="0" w:color="auto"/>
              <w:right w:val="nil"/>
            </w:tcBorders>
            <w:shd w:val="clear" w:color="000000" w:fill="D9E1F2"/>
            <w:noWrap/>
            <w:vAlign w:val="bottom"/>
            <w:hideMark/>
          </w:tcPr>
          <w:p w14:paraId="59B322A8" w14:textId="77777777" w:rsidR="007A1FFC" w:rsidRPr="007A1FFC" w:rsidRDefault="007A1FFC" w:rsidP="007A1FFC">
            <w:pPr>
              <w:widowControl/>
              <w:rPr>
                <w:rFonts w:ascii="Calibri" w:hAnsi="Calibri" w:cs="Calibri"/>
                <w:b/>
                <w:bCs/>
                <w:color w:val="000000"/>
                <w:szCs w:val="24"/>
              </w:rPr>
            </w:pPr>
            <w:r w:rsidRPr="007A1FFC">
              <w:rPr>
                <w:rFonts w:ascii="Calibri" w:hAnsi="Calibri" w:cs="Calibri"/>
                <w:b/>
                <w:bCs/>
                <w:color w:val="000000"/>
                <w:szCs w:val="24"/>
              </w:rPr>
              <w:t xml:space="preserve">Oil Source: </w:t>
            </w:r>
          </w:p>
        </w:tc>
        <w:tc>
          <w:tcPr>
            <w:tcW w:w="1680" w:type="dxa"/>
            <w:tcBorders>
              <w:top w:val="single" w:sz="8" w:space="0" w:color="auto"/>
              <w:left w:val="nil"/>
              <w:bottom w:val="single" w:sz="8" w:space="0" w:color="auto"/>
              <w:right w:val="nil"/>
            </w:tcBorders>
            <w:shd w:val="clear" w:color="000000" w:fill="FFF2CC"/>
            <w:noWrap/>
            <w:vAlign w:val="bottom"/>
            <w:hideMark/>
          </w:tcPr>
          <w:p w14:paraId="484566DD" w14:textId="77777777" w:rsidR="007A1FFC" w:rsidRPr="007A1FFC" w:rsidRDefault="007A1FFC" w:rsidP="007A1FFC">
            <w:pPr>
              <w:widowControl/>
              <w:rPr>
                <w:rFonts w:ascii="Calibri" w:hAnsi="Calibri" w:cs="Calibri"/>
                <w:color w:val="000000"/>
                <w:szCs w:val="24"/>
              </w:rPr>
            </w:pPr>
            <w:r w:rsidRPr="007A1FFC">
              <w:rPr>
                <w:rFonts w:ascii="Calibri" w:hAnsi="Calibri" w:cs="Calibri"/>
                <w:color w:val="000000"/>
                <w:szCs w:val="24"/>
              </w:rPr>
              <w:t> </w:t>
            </w:r>
          </w:p>
        </w:tc>
        <w:tc>
          <w:tcPr>
            <w:tcW w:w="1700" w:type="dxa"/>
            <w:tcBorders>
              <w:top w:val="single" w:sz="8" w:space="0" w:color="auto"/>
              <w:left w:val="nil"/>
              <w:bottom w:val="single" w:sz="8" w:space="0" w:color="auto"/>
              <w:right w:val="single" w:sz="4" w:space="0" w:color="auto"/>
            </w:tcBorders>
            <w:shd w:val="clear" w:color="000000" w:fill="D9E1F2"/>
            <w:noWrap/>
            <w:vAlign w:val="bottom"/>
            <w:hideMark/>
          </w:tcPr>
          <w:p w14:paraId="29881257" w14:textId="77777777" w:rsidR="007A1FFC" w:rsidRPr="007A1FFC" w:rsidRDefault="007A1FFC" w:rsidP="007A1FFC">
            <w:pPr>
              <w:widowControl/>
              <w:rPr>
                <w:rFonts w:ascii="Calibri" w:hAnsi="Calibri" w:cs="Calibri"/>
                <w:b/>
                <w:bCs/>
                <w:color w:val="000000"/>
                <w:szCs w:val="24"/>
              </w:rPr>
            </w:pPr>
            <w:r w:rsidRPr="007A1FFC">
              <w:rPr>
                <w:rFonts w:ascii="Calibri" w:hAnsi="Calibri" w:cs="Calibri"/>
                <w:b/>
                <w:bCs/>
                <w:color w:val="000000"/>
                <w:szCs w:val="24"/>
              </w:rPr>
              <w:t>Oil Type:</w:t>
            </w:r>
          </w:p>
        </w:tc>
        <w:tc>
          <w:tcPr>
            <w:tcW w:w="2040" w:type="dxa"/>
            <w:tcBorders>
              <w:top w:val="single" w:sz="8" w:space="0" w:color="auto"/>
              <w:left w:val="nil"/>
              <w:bottom w:val="single" w:sz="8" w:space="0" w:color="auto"/>
              <w:right w:val="nil"/>
            </w:tcBorders>
            <w:shd w:val="clear" w:color="000000" w:fill="FFF2CC"/>
            <w:noWrap/>
            <w:vAlign w:val="bottom"/>
            <w:hideMark/>
          </w:tcPr>
          <w:p w14:paraId="64345637" w14:textId="77777777" w:rsidR="007A1FFC" w:rsidRPr="007A1FFC" w:rsidRDefault="007A1FFC" w:rsidP="007A1FFC">
            <w:pPr>
              <w:widowControl/>
              <w:rPr>
                <w:rFonts w:ascii="Calibri" w:hAnsi="Calibri" w:cs="Calibri"/>
                <w:color w:val="000000"/>
                <w:szCs w:val="24"/>
              </w:rPr>
            </w:pPr>
            <w:r w:rsidRPr="007A1FFC">
              <w:rPr>
                <w:rFonts w:ascii="Calibri" w:hAnsi="Calibri" w:cs="Calibri"/>
                <w:color w:val="000000"/>
                <w:szCs w:val="24"/>
              </w:rPr>
              <w:t> </w:t>
            </w:r>
          </w:p>
        </w:tc>
        <w:tc>
          <w:tcPr>
            <w:tcW w:w="1260" w:type="dxa"/>
            <w:tcBorders>
              <w:top w:val="single" w:sz="8" w:space="0" w:color="auto"/>
              <w:left w:val="nil"/>
              <w:bottom w:val="single" w:sz="8" w:space="0" w:color="auto"/>
              <w:right w:val="single" w:sz="8" w:space="0" w:color="auto"/>
            </w:tcBorders>
            <w:shd w:val="clear" w:color="000000" w:fill="FFF2CC"/>
            <w:noWrap/>
            <w:vAlign w:val="bottom"/>
            <w:hideMark/>
          </w:tcPr>
          <w:p w14:paraId="46DC682D" w14:textId="77777777" w:rsidR="007A1FFC" w:rsidRPr="007A1FFC" w:rsidRDefault="007A1FFC" w:rsidP="007A1FFC">
            <w:pPr>
              <w:widowControl/>
              <w:rPr>
                <w:rFonts w:ascii="Calibri" w:hAnsi="Calibri" w:cs="Calibri"/>
                <w:color w:val="000000"/>
                <w:szCs w:val="24"/>
              </w:rPr>
            </w:pPr>
            <w:r w:rsidRPr="007A1FFC">
              <w:rPr>
                <w:rFonts w:ascii="Calibri" w:hAnsi="Calibri" w:cs="Calibri"/>
                <w:color w:val="000000"/>
                <w:szCs w:val="24"/>
              </w:rPr>
              <w:t> </w:t>
            </w:r>
          </w:p>
        </w:tc>
      </w:tr>
      <w:tr w:rsidR="007A1FFC" w:rsidRPr="007A1FFC" w14:paraId="097F83CC" w14:textId="77777777" w:rsidTr="007A1FFC">
        <w:trPr>
          <w:trHeight w:val="1200"/>
        </w:trPr>
        <w:tc>
          <w:tcPr>
            <w:tcW w:w="1780" w:type="dxa"/>
            <w:tcBorders>
              <w:top w:val="nil"/>
              <w:left w:val="single" w:sz="8" w:space="0" w:color="auto"/>
              <w:bottom w:val="single" w:sz="4" w:space="0" w:color="auto"/>
              <w:right w:val="nil"/>
            </w:tcBorders>
            <w:shd w:val="clear" w:color="auto" w:fill="auto"/>
            <w:noWrap/>
            <w:vAlign w:val="bottom"/>
            <w:hideMark/>
          </w:tcPr>
          <w:p w14:paraId="4F414FF8" w14:textId="77777777" w:rsidR="007A1FFC" w:rsidRPr="007A1FFC" w:rsidRDefault="007A1FFC" w:rsidP="007A1FFC">
            <w:pPr>
              <w:widowControl/>
              <w:rPr>
                <w:rFonts w:ascii="Calibri" w:hAnsi="Calibri" w:cs="Calibri"/>
                <w:b/>
                <w:bCs/>
                <w:color w:val="000000"/>
                <w:sz w:val="22"/>
                <w:szCs w:val="22"/>
                <w:u w:val="single"/>
              </w:rPr>
            </w:pPr>
            <w:r w:rsidRPr="007A1FFC">
              <w:rPr>
                <w:rFonts w:ascii="Calibri" w:hAnsi="Calibri" w:cs="Calibri"/>
                <w:b/>
                <w:bCs/>
                <w:color w:val="000000"/>
                <w:sz w:val="22"/>
                <w:szCs w:val="22"/>
                <w:u w:val="single"/>
              </w:rPr>
              <w:t>Oil Spill Size Class</w:t>
            </w:r>
          </w:p>
        </w:tc>
        <w:tc>
          <w:tcPr>
            <w:tcW w:w="1680" w:type="dxa"/>
            <w:tcBorders>
              <w:top w:val="nil"/>
              <w:left w:val="nil"/>
              <w:bottom w:val="single" w:sz="4" w:space="0" w:color="auto"/>
              <w:right w:val="single" w:sz="4" w:space="0" w:color="auto"/>
            </w:tcBorders>
            <w:shd w:val="clear" w:color="auto" w:fill="auto"/>
            <w:vAlign w:val="bottom"/>
            <w:hideMark/>
          </w:tcPr>
          <w:p w14:paraId="17A5BA62" w14:textId="77777777" w:rsidR="007A1FFC" w:rsidRPr="007A1FFC" w:rsidRDefault="007A1FFC" w:rsidP="007A1FFC">
            <w:pPr>
              <w:widowControl/>
              <w:rPr>
                <w:rFonts w:ascii="Calibri" w:hAnsi="Calibri" w:cs="Calibri"/>
                <w:b/>
                <w:bCs/>
                <w:color w:val="000000"/>
                <w:sz w:val="22"/>
                <w:szCs w:val="22"/>
                <w:u w:val="single"/>
              </w:rPr>
            </w:pPr>
            <w:r w:rsidRPr="007A1FFC">
              <w:rPr>
                <w:rFonts w:ascii="Calibri" w:hAnsi="Calibri" w:cs="Calibri"/>
                <w:b/>
                <w:bCs/>
                <w:color w:val="000000"/>
                <w:sz w:val="22"/>
                <w:szCs w:val="22"/>
                <w:u w:val="single"/>
              </w:rPr>
              <w:t xml:space="preserve">Sill Size Range </w:t>
            </w:r>
            <w:r w:rsidRPr="007A1FFC">
              <w:rPr>
                <w:rFonts w:ascii="Calibri" w:hAnsi="Calibri" w:cs="Calibri"/>
                <w:b/>
                <w:bCs/>
                <w:color w:val="000000"/>
                <w:sz w:val="22"/>
                <w:szCs w:val="22"/>
                <w:u w:val="single"/>
              </w:rPr>
              <w:br/>
              <w:t>(</w:t>
            </w:r>
            <w:proofErr w:type="spellStart"/>
            <w:r w:rsidRPr="007A1FFC">
              <w:rPr>
                <w:rFonts w:ascii="Calibri" w:hAnsi="Calibri" w:cs="Calibri"/>
                <w:b/>
                <w:bCs/>
                <w:color w:val="000000"/>
                <w:sz w:val="22"/>
                <w:szCs w:val="22"/>
                <w:u w:val="single"/>
              </w:rPr>
              <w:t>bbl</w:t>
            </w:r>
            <w:proofErr w:type="spellEnd"/>
            <w:r w:rsidRPr="007A1FFC">
              <w:rPr>
                <w:rFonts w:ascii="Calibri" w:hAnsi="Calibri" w:cs="Calibri"/>
                <w:b/>
                <w:bCs/>
                <w:color w:val="000000"/>
                <w:sz w:val="22"/>
                <w:szCs w:val="22"/>
                <w:u w:val="single"/>
              </w:rPr>
              <w:t>)</w:t>
            </w:r>
          </w:p>
        </w:tc>
        <w:tc>
          <w:tcPr>
            <w:tcW w:w="1700" w:type="dxa"/>
            <w:tcBorders>
              <w:top w:val="nil"/>
              <w:left w:val="nil"/>
              <w:bottom w:val="single" w:sz="4" w:space="0" w:color="auto"/>
              <w:right w:val="single" w:sz="4" w:space="0" w:color="auto"/>
            </w:tcBorders>
            <w:shd w:val="clear" w:color="auto" w:fill="auto"/>
            <w:vAlign w:val="bottom"/>
            <w:hideMark/>
          </w:tcPr>
          <w:p w14:paraId="4BEBFA8C" w14:textId="77777777" w:rsidR="007A1FFC" w:rsidRPr="007A1FFC" w:rsidRDefault="007A1FFC" w:rsidP="007A1FFC">
            <w:pPr>
              <w:widowControl/>
              <w:rPr>
                <w:rFonts w:ascii="Calibri" w:hAnsi="Calibri" w:cs="Calibri"/>
                <w:b/>
                <w:bCs/>
                <w:color w:val="000000"/>
                <w:sz w:val="22"/>
                <w:szCs w:val="22"/>
                <w:u w:val="single"/>
              </w:rPr>
            </w:pPr>
            <w:r w:rsidRPr="007A1FFC">
              <w:rPr>
                <w:rFonts w:ascii="Calibri" w:hAnsi="Calibri" w:cs="Calibri"/>
                <w:b/>
                <w:bCs/>
                <w:color w:val="000000"/>
                <w:sz w:val="22"/>
                <w:szCs w:val="22"/>
                <w:u w:val="single"/>
              </w:rPr>
              <w:t xml:space="preserve">Mean Sill Rate </w:t>
            </w:r>
            <w:r w:rsidRPr="007A1FFC">
              <w:rPr>
                <w:rFonts w:ascii="Calibri" w:hAnsi="Calibri" w:cs="Calibri"/>
                <w:b/>
                <w:bCs/>
                <w:color w:val="000000"/>
                <w:sz w:val="22"/>
                <w:szCs w:val="22"/>
                <w:u w:val="single"/>
              </w:rPr>
              <w:br/>
              <w:t>(</w:t>
            </w:r>
            <w:proofErr w:type="spellStart"/>
            <w:r w:rsidRPr="007A1FFC">
              <w:rPr>
                <w:rFonts w:ascii="Calibri" w:hAnsi="Calibri" w:cs="Calibri"/>
                <w:b/>
                <w:bCs/>
                <w:color w:val="000000"/>
                <w:sz w:val="22"/>
                <w:szCs w:val="22"/>
                <w:u w:val="single"/>
              </w:rPr>
              <w:t>bbl</w:t>
            </w:r>
            <w:proofErr w:type="spellEnd"/>
            <w:r w:rsidRPr="007A1FFC">
              <w:rPr>
                <w:rFonts w:ascii="Calibri" w:hAnsi="Calibri" w:cs="Calibri"/>
                <w:b/>
                <w:bCs/>
                <w:color w:val="000000"/>
                <w:sz w:val="22"/>
                <w:szCs w:val="22"/>
                <w:u w:val="single"/>
              </w:rPr>
              <w:t>/</w:t>
            </w:r>
            <w:proofErr w:type="spellStart"/>
            <w:r w:rsidRPr="007A1FFC">
              <w:rPr>
                <w:rFonts w:ascii="Calibri" w:hAnsi="Calibri" w:cs="Calibri"/>
                <w:b/>
                <w:bCs/>
                <w:color w:val="000000"/>
                <w:sz w:val="22"/>
                <w:szCs w:val="22"/>
                <w:u w:val="single"/>
              </w:rPr>
              <w:t>bbl</w:t>
            </w:r>
            <w:proofErr w:type="spellEnd"/>
            <w:r w:rsidRPr="007A1FFC">
              <w:rPr>
                <w:rFonts w:ascii="Calibri" w:hAnsi="Calibri" w:cs="Calibri"/>
                <w:b/>
                <w:bCs/>
                <w:color w:val="000000"/>
                <w:sz w:val="22"/>
                <w:szCs w:val="22"/>
                <w:u w:val="single"/>
              </w:rPr>
              <w:t xml:space="preserve"> produced or </w:t>
            </w:r>
            <w:r w:rsidRPr="007A1FFC">
              <w:rPr>
                <w:rFonts w:ascii="Calibri" w:hAnsi="Calibri" w:cs="Calibri"/>
                <w:b/>
                <w:bCs/>
                <w:color w:val="000000"/>
                <w:sz w:val="22"/>
                <w:szCs w:val="22"/>
                <w:u w:val="single"/>
              </w:rPr>
              <w:br/>
              <w:t>transported)</w:t>
            </w:r>
          </w:p>
        </w:tc>
        <w:tc>
          <w:tcPr>
            <w:tcW w:w="2040" w:type="dxa"/>
            <w:tcBorders>
              <w:top w:val="nil"/>
              <w:left w:val="nil"/>
              <w:bottom w:val="single" w:sz="4" w:space="0" w:color="auto"/>
              <w:right w:val="single" w:sz="4" w:space="0" w:color="auto"/>
            </w:tcBorders>
            <w:shd w:val="clear" w:color="auto" w:fill="auto"/>
            <w:noWrap/>
            <w:vAlign w:val="bottom"/>
            <w:hideMark/>
          </w:tcPr>
          <w:p w14:paraId="36F7A87F" w14:textId="77777777" w:rsidR="007A1FFC" w:rsidRPr="007A1FFC" w:rsidRDefault="007A1FFC" w:rsidP="007A1FFC">
            <w:pPr>
              <w:widowControl/>
              <w:rPr>
                <w:rFonts w:ascii="Calibri" w:hAnsi="Calibri" w:cs="Calibri"/>
                <w:b/>
                <w:bCs/>
                <w:color w:val="000000"/>
                <w:sz w:val="22"/>
                <w:szCs w:val="22"/>
                <w:u w:val="single"/>
              </w:rPr>
            </w:pPr>
            <w:r w:rsidRPr="007A1FFC">
              <w:rPr>
                <w:rFonts w:ascii="Calibri" w:hAnsi="Calibri" w:cs="Calibri"/>
                <w:b/>
                <w:bCs/>
                <w:color w:val="000000"/>
                <w:sz w:val="22"/>
                <w:szCs w:val="22"/>
                <w:u w:val="single"/>
              </w:rPr>
              <w:t>Mean Spill Size (</w:t>
            </w:r>
            <w:proofErr w:type="spellStart"/>
            <w:r w:rsidRPr="007A1FFC">
              <w:rPr>
                <w:rFonts w:ascii="Calibri" w:hAnsi="Calibri" w:cs="Calibri"/>
                <w:b/>
                <w:bCs/>
                <w:color w:val="000000"/>
                <w:sz w:val="22"/>
                <w:szCs w:val="22"/>
                <w:u w:val="single"/>
              </w:rPr>
              <w:t>bbl</w:t>
            </w:r>
            <w:proofErr w:type="spellEnd"/>
            <w:r w:rsidRPr="007A1FFC">
              <w:rPr>
                <w:rFonts w:ascii="Calibri" w:hAnsi="Calibri" w:cs="Calibri"/>
                <w:b/>
                <w:bCs/>
                <w:color w:val="000000"/>
                <w:sz w:val="22"/>
                <w:szCs w:val="22"/>
                <w:u w:val="single"/>
              </w:rPr>
              <w:t>)</w:t>
            </w:r>
          </w:p>
        </w:tc>
        <w:tc>
          <w:tcPr>
            <w:tcW w:w="1260" w:type="dxa"/>
            <w:tcBorders>
              <w:top w:val="nil"/>
              <w:left w:val="nil"/>
              <w:bottom w:val="single" w:sz="4" w:space="0" w:color="auto"/>
              <w:right w:val="single" w:sz="8" w:space="0" w:color="auto"/>
            </w:tcBorders>
            <w:shd w:val="clear" w:color="auto" w:fill="auto"/>
            <w:vAlign w:val="bottom"/>
            <w:hideMark/>
          </w:tcPr>
          <w:p w14:paraId="5607EF98" w14:textId="77777777" w:rsidR="007A1FFC" w:rsidRPr="007A1FFC" w:rsidRDefault="007A1FFC" w:rsidP="007A1FFC">
            <w:pPr>
              <w:widowControl/>
              <w:rPr>
                <w:rFonts w:ascii="Calibri" w:hAnsi="Calibri" w:cs="Calibri"/>
                <w:b/>
                <w:bCs/>
                <w:color w:val="000000"/>
                <w:sz w:val="22"/>
                <w:szCs w:val="22"/>
                <w:u w:val="single"/>
              </w:rPr>
            </w:pPr>
            <w:r w:rsidRPr="007A1FFC">
              <w:rPr>
                <w:rFonts w:ascii="Calibri" w:hAnsi="Calibri" w:cs="Calibri"/>
                <w:b/>
                <w:bCs/>
                <w:color w:val="000000"/>
                <w:sz w:val="22"/>
                <w:szCs w:val="22"/>
                <w:u w:val="single"/>
              </w:rPr>
              <w:t xml:space="preserve">Spill Class as a </w:t>
            </w:r>
            <w:r w:rsidRPr="007A1FFC">
              <w:rPr>
                <w:rFonts w:ascii="Calibri" w:hAnsi="Calibri" w:cs="Calibri"/>
                <w:b/>
                <w:bCs/>
                <w:color w:val="000000"/>
                <w:sz w:val="22"/>
                <w:szCs w:val="22"/>
                <w:u w:val="single"/>
              </w:rPr>
              <w:br/>
              <w:t>% of Total Spills</w:t>
            </w:r>
          </w:p>
        </w:tc>
      </w:tr>
      <w:tr w:rsidR="007A1FFC" w:rsidRPr="007A1FFC" w14:paraId="61AE7E59" w14:textId="77777777" w:rsidTr="007A1FFC">
        <w:trPr>
          <w:trHeight w:val="300"/>
        </w:trPr>
        <w:tc>
          <w:tcPr>
            <w:tcW w:w="1780" w:type="dxa"/>
            <w:tcBorders>
              <w:top w:val="nil"/>
              <w:left w:val="single" w:sz="8" w:space="0" w:color="auto"/>
              <w:bottom w:val="single" w:sz="4" w:space="0" w:color="auto"/>
              <w:right w:val="nil"/>
            </w:tcBorders>
            <w:shd w:val="clear" w:color="auto" w:fill="auto"/>
            <w:noWrap/>
            <w:vAlign w:val="bottom"/>
            <w:hideMark/>
          </w:tcPr>
          <w:p w14:paraId="7BEFD9F6"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Very Small</w:t>
            </w:r>
          </w:p>
        </w:tc>
        <w:tc>
          <w:tcPr>
            <w:tcW w:w="1680" w:type="dxa"/>
            <w:tcBorders>
              <w:top w:val="nil"/>
              <w:left w:val="nil"/>
              <w:bottom w:val="single" w:sz="4" w:space="0" w:color="auto"/>
              <w:right w:val="single" w:sz="4" w:space="0" w:color="auto"/>
            </w:tcBorders>
            <w:shd w:val="clear" w:color="auto" w:fill="auto"/>
            <w:noWrap/>
            <w:vAlign w:val="bottom"/>
            <w:hideMark/>
          </w:tcPr>
          <w:p w14:paraId="3B899CB1"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0.1 to 10</w:t>
            </w:r>
          </w:p>
        </w:tc>
        <w:tc>
          <w:tcPr>
            <w:tcW w:w="1700" w:type="dxa"/>
            <w:tcBorders>
              <w:top w:val="nil"/>
              <w:left w:val="nil"/>
              <w:bottom w:val="single" w:sz="4" w:space="0" w:color="auto"/>
              <w:right w:val="single" w:sz="4" w:space="0" w:color="auto"/>
            </w:tcBorders>
            <w:shd w:val="clear" w:color="auto" w:fill="auto"/>
            <w:noWrap/>
            <w:vAlign w:val="bottom"/>
            <w:hideMark/>
          </w:tcPr>
          <w:p w14:paraId="294D028D"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 </w:t>
            </w:r>
          </w:p>
        </w:tc>
        <w:tc>
          <w:tcPr>
            <w:tcW w:w="2040" w:type="dxa"/>
            <w:tcBorders>
              <w:top w:val="nil"/>
              <w:left w:val="nil"/>
              <w:bottom w:val="single" w:sz="4" w:space="0" w:color="auto"/>
              <w:right w:val="single" w:sz="4" w:space="0" w:color="auto"/>
            </w:tcBorders>
            <w:shd w:val="clear" w:color="auto" w:fill="auto"/>
            <w:noWrap/>
            <w:vAlign w:val="bottom"/>
            <w:hideMark/>
          </w:tcPr>
          <w:p w14:paraId="0A67A34F"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 </w:t>
            </w:r>
          </w:p>
        </w:tc>
        <w:tc>
          <w:tcPr>
            <w:tcW w:w="1260" w:type="dxa"/>
            <w:tcBorders>
              <w:top w:val="nil"/>
              <w:left w:val="nil"/>
              <w:bottom w:val="single" w:sz="4" w:space="0" w:color="auto"/>
              <w:right w:val="single" w:sz="8" w:space="0" w:color="auto"/>
            </w:tcBorders>
            <w:shd w:val="clear" w:color="auto" w:fill="auto"/>
            <w:noWrap/>
            <w:vAlign w:val="bottom"/>
            <w:hideMark/>
          </w:tcPr>
          <w:p w14:paraId="44F0B722"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 </w:t>
            </w:r>
          </w:p>
        </w:tc>
      </w:tr>
      <w:tr w:rsidR="007A1FFC" w:rsidRPr="007A1FFC" w14:paraId="553105CE" w14:textId="77777777" w:rsidTr="007A1FFC">
        <w:trPr>
          <w:trHeight w:val="300"/>
        </w:trPr>
        <w:tc>
          <w:tcPr>
            <w:tcW w:w="1780" w:type="dxa"/>
            <w:tcBorders>
              <w:top w:val="nil"/>
              <w:left w:val="single" w:sz="8" w:space="0" w:color="auto"/>
              <w:bottom w:val="single" w:sz="4" w:space="0" w:color="auto"/>
              <w:right w:val="nil"/>
            </w:tcBorders>
            <w:shd w:val="clear" w:color="auto" w:fill="auto"/>
            <w:noWrap/>
            <w:vAlign w:val="bottom"/>
            <w:hideMark/>
          </w:tcPr>
          <w:p w14:paraId="7E3204DB"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Small</w:t>
            </w:r>
          </w:p>
        </w:tc>
        <w:tc>
          <w:tcPr>
            <w:tcW w:w="1680" w:type="dxa"/>
            <w:tcBorders>
              <w:top w:val="nil"/>
              <w:left w:val="nil"/>
              <w:bottom w:val="single" w:sz="4" w:space="0" w:color="auto"/>
              <w:right w:val="single" w:sz="4" w:space="0" w:color="auto"/>
            </w:tcBorders>
            <w:shd w:val="clear" w:color="auto" w:fill="auto"/>
            <w:noWrap/>
            <w:vAlign w:val="bottom"/>
            <w:hideMark/>
          </w:tcPr>
          <w:p w14:paraId="5FF12E4F"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10.1 to 100</w:t>
            </w:r>
          </w:p>
        </w:tc>
        <w:tc>
          <w:tcPr>
            <w:tcW w:w="1700" w:type="dxa"/>
            <w:tcBorders>
              <w:top w:val="nil"/>
              <w:left w:val="nil"/>
              <w:bottom w:val="single" w:sz="4" w:space="0" w:color="auto"/>
              <w:right w:val="single" w:sz="4" w:space="0" w:color="auto"/>
            </w:tcBorders>
            <w:shd w:val="clear" w:color="auto" w:fill="auto"/>
            <w:noWrap/>
            <w:vAlign w:val="bottom"/>
            <w:hideMark/>
          </w:tcPr>
          <w:p w14:paraId="428A6424"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 </w:t>
            </w:r>
          </w:p>
        </w:tc>
        <w:tc>
          <w:tcPr>
            <w:tcW w:w="2040" w:type="dxa"/>
            <w:tcBorders>
              <w:top w:val="nil"/>
              <w:left w:val="nil"/>
              <w:bottom w:val="single" w:sz="4" w:space="0" w:color="auto"/>
              <w:right w:val="single" w:sz="4" w:space="0" w:color="auto"/>
            </w:tcBorders>
            <w:shd w:val="clear" w:color="auto" w:fill="auto"/>
            <w:noWrap/>
            <w:vAlign w:val="bottom"/>
            <w:hideMark/>
          </w:tcPr>
          <w:p w14:paraId="523091F1"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 </w:t>
            </w:r>
          </w:p>
        </w:tc>
        <w:tc>
          <w:tcPr>
            <w:tcW w:w="1260" w:type="dxa"/>
            <w:tcBorders>
              <w:top w:val="nil"/>
              <w:left w:val="nil"/>
              <w:bottom w:val="single" w:sz="4" w:space="0" w:color="auto"/>
              <w:right w:val="single" w:sz="8" w:space="0" w:color="auto"/>
            </w:tcBorders>
            <w:shd w:val="clear" w:color="auto" w:fill="auto"/>
            <w:noWrap/>
            <w:vAlign w:val="bottom"/>
            <w:hideMark/>
          </w:tcPr>
          <w:p w14:paraId="2C5BB4BA"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 </w:t>
            </w:r>
          </w:p>
        </w:tc>
      </w:tr>
      <w:tr w:rsidR="007A1FFC" w:rsidRPr="007A1FFC" w14:paraId="6688C6D9" w14:textId="77777777" w:rsidTr="007A1FFC">
        <w:trPr>
          <w:trHeight w:val="300"/>
        </w:trPr>
        <w:tc>
          <w:tcPr>
            <w:tcW w:w="1780" w:type="dxa"/>
            <w:tcBorders>
              <w:top w:val="nil"/>
              <w:left w:val="single" w:sz="8" w:space="0" w:color="auto"/>
              <w:bottom w:val="single" w:sz="4" w:space="0" w:color="auto"/>
              <w:right w:val="nil"/>
            </w:tcBorders>
            <w:shd w:val="clear" w:color="auto" w:fill="auto"/>
            <w:noWrap/>
            <w:vAlign w:val="bottom"/>
            <w:hideMark/>
          </w:tcPr>
          <w:p w14:paraId="54B89F8E"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Medium</w:t>
            </w:r>
          </w:p>
        </w:tc>
        <w:tc>
          <w:tcPr>
            <w:tcW w:w="1680" w:type="dxa"/>
            <w:tcBorders>
              <w:top w:val="nil"/>
              <w:left w:val="nil"/>
              <w:bottom w:val="single" w:sz="4" w:space="0" w:color="auto"/>
              <w:right w:val="single" w:sz="4" w:space="0" w:color="auto"/>
            </w:tcBorders>
            <w:shd w:val="clear" w:color="auto" w:fill="auto"/>
            <w:noWrap/>
            <w:vAlign w:val="bottom"/>
            <w:hideMark/>
          </w:tcPr>
          <w:p w14:paraId="49CDDDC2"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101 to 1,000</w:t>
            </w:r>
          </w:p>
        </w:tc>
        <w:tc>
          <w:tcPr>
            <w:tcW w:w="1700" w:type="dxa"/>
            <w:tcBorders>
              <w:top w:val="nil"/>
              <w:left w:val="nil"/>
              <w:bottom w:val="single" w:sz="4" w:space="0" w:color="auto"/>
              <w:right w:val="single" w:sz="4" w:space="0" w:color="auto"/>
            </w:tcBorders>
            <w:shd w:val="clear" w:color="auto" w:fill="auto"/>
            <w:noWrap/>
            <w:vAlign w:val="bottom"/>
            <w:hideMark/>
          </w:tcPr>
          <w:p w14:paraId="79C126C7"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 </w:t>
            </w:r>
          </w:p>
        </w:tc>
        <w:tc>
          <w:tcPr>
            <w:tcW w:w="2040" w:type="dxa"/>
            <w:tcBorders>
              <w:top w:val="nil"/>
              <w:left w:val="nil"/>
              <w:bottom w:val="single" w:sz="4" w:space="0" w:color="auto"/>
              <w:right w:val="single" w:sz="4" w:space="0" w:color="auto"/>
            </w:tcBorders>
            <w:shd w:val="clear" w:color="auto" w:fill="auto"/>
            <w:noWrap/>
            <w:vAlign w:val="bottom"/>
            <w:hideMark/>
          </w:tcPr>
          <w:p w14:paraId="01F98F31"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 </w:t>
            </w:r>
          </w:p>
        </w:tc>
        <w:tc>
          <w:tcPr>
            <w:tcW w:w="1260" w:type="dxa"/>
            <w:tcBorders>
              <w:top w:val="nil"/>
              <w:left w:val="nil"/>
              <w:bottom w:val="single" w:sz="4" w:space="0" w:color="auto"/>
              <w:right w:val="single" w:sz="8" w:space="0" w:color="auto"/>
            </w:tcBorders>
            <w:shd w:val="clear" w:color="auto" w:fill="auto"/>
            <w:noWrap/>
            <w:vAlign w:val="bottom"/>
            <w:hideMark/>
          </w:tcPr>
          <w:p w14:paraId="5DF6F7AE" w14:textId="77777777" w:rsidR="007A1FFC" w:rsidRPr="007A1FFC" w:rsidRDefault="007A1FFC" w:rsidP="007A1FFC">
            <w:pPr>
              <w:widowControl/>
              <w:jc w:val="right"/>
              <w:rPr>
                <w:rFonts w:ascii="Calibri" w:hAnsi="Calibri" w:cs="Calibri"/>
                <w:color w:val="000000"/>
                <w:sz w:val="22"/>
                <w:szCs w:val="22"/>
              </w:rPr>
            </w:pPr>
            <w:r w:rsidRPr="007A1FFC">
              <w:rPr>
                <w:rFonts w:ascii="Calibri" w:hAnsi="Calibri" w:cs="Calibri"/>
                <w:color w:val="000000"/>
                <w:sz w:val="22"/>
                <w:szCs w:val="22"/>
              </w:rPr>
              <w:t> </w:t>
            </w:r>
          </w:p>
        </w:tc>
      </w:tr>
      <w:tr w:rsidR="007A1FFC" w:rsidRPr="007A1FFC" w14:paraId="2BF6910F" w14:textId="77777777" w:rsidTr="007A1FFC">
        <w:trPr>
          <w:trHeight w:val="300"/>
        </w:trPr>
        <w:tc>
          <w:tcPr>
            <w:tcW w:w="1780" w:type="dxa"/>
            <w:tcBorders>
              <w:top w:val="nil"/>
              <w:left w:val="single" w:sz="8" w:space="0" w:color="auto"/>
              <w:bottom w:val="single" w:sz="4" w:space="0" w:color="auto"/>
              <w:right w:val="nil"/>
            </w:tcBorders>
            <w:shd w:val="clear" w:color="auto" w:fill="auto"/>
            <w:noWrap/>
            <w:vAlign w:val="bottom"/>
            <w:hideMark/>
          </w:tcPr>
          <w:p w14:paraId="28414E3F"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Large</w:t>
            </w:r>
          </w:p>
        </w:tc>
        <w:tc>
          <w:tcPr>
            <w:tcW w:w="1680" w:type="dxa"/>
            <w:tcBorders>
              <w:top w:val="nil"/>
              <w:left w:val="nil"/>
              <w:bottom w:val="single" w:sz="4" w:space="0" w:color="auto"/>
              <w:right w:val="single" w:sz="4" w:space="0" w:color="auto"/>
            </w:tcBorders>
            <w:shd w:val="clear" w:color="auto" w:fill="auto"/>
            <w:noWrap/>
            <w:vAlign w:val="bottom"/>
            <w:hideMark/>
          </w:tcPr>
          <w:p w14:paraId="6C639170"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1,001 to 10,000</w:t>
            </w:r>
          </w:p>
        </w:tc>
        <w:tc>
          <w:tcPr>
            <w:tcW w:w="1700" w:type="dxa"/>
            <w:tcBorders>
              <w:top w:val="nil"/>
              <w:left w:val="nil"/>
              <w:bottom w:val="single" w:sz="4" w:space="0" w:color="auto"/>
              <w:right w:val="single" w:sz="4" w:space="0" w:color="auto"/>
            </w:tcBorders>
            <w:shd w:val="clear" w:color="auto" w:fill="auto"/>
            <w:noWrap/>
            <w:vAlign w:val="bottom"/>
            <w:hideMark/>
          </w:tcPr>
          <w:p w14:paraId="42CF6BA0"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 </w:t>
            </w:r>
          </w:p>
        </w:tc>
        <w:tc>
          <w:tcPr>
            <w:tcW w:w="2040" w:type="dxa"/>
            <w:tcBorders>
              <w:top w:val="nil"/>
              <w:left w:val="nil"/>
              <w:bottom w:val="single" w:sz="4" w:space="0" w:color="auto"/>
              <w:right w:val="single" w:sz="4" w:space="0" w:color="auto"/>
            </w:tcBorders>
            <w:shd w:val="clear" w:color="auto" w:fill="auto"/>
            <w:noWrap/>
            <w:vAlign w:val="bottom"/>
            <w:hideMark/>
          </w:tcPr>
          <w:p w14:paraId="2A60AF5E"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 </w:t>
            </w:r>
          </w:p>
        </w:tc>
        <w:tc>
          <w:tcPr>
            <w:tcW w:w="1260" w:type="dxa"/>
            <w:tcBorders>
              <w:top w:val="nil"/>
              <w:left w:val="nil"/>
              <w:bottom w:val="single" w:sz="4" w:space="0" w:color="auto"/>
              <w:right w:val="single" w:sz="8" w:space="0" w:color="auto"/>
            </w:tcBorders>
            <w:shd w:val="clear" w:color="auto" w:fill="auto"/>
            <w:noWrap/>
            <w:vAlign w:val="bottom"/>
            <w:hideMark/>
          </w:tcPr>
          <w:p w14:paraId="5A34859C"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 </w:t>
            </w:r>
          </w:p>
        </w:tc>
      </w:tr>
      <w:tr w:rsidR="007A1FFC" w:rsidRPr="007A1FFC" w14:paraId="3B4FA378" w14:textId="77777777" w:rsidTr="007A1FFC">
        <w:trPr>
          <w:trHeight w:val="300"/>
        </w:trPr>
        <w:tc>
          <w:tcPr>
            <w:tcW w:w="1780" w:type="dxa"/>
            <w:tcBorders>
              <w:top w:val="nil"/>
              <w:left w:val="single" w:sz="8" w:space="0" w:color="auto"/>
              <w:bottom w:val="nil"/>
              <w:right w:val="nil"/>
            </w:tcBorders>
            <w:shd w:val="clear" w:color="auto" w:fill="auto"/>
            <w:noWrap/>
            <w:vAlign w:val="bottom"/>
            <w:hideMark/>
          </w:tcPr>
          <w:p w14:paraId="2D27A8B1"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Very Large</w:t>
            </w:r>
          </w:p>
        </w:tc>
        <w:tc>
          <w:tcPr>
            <w:tcW w:w="1680" w:type="dxa"/>
            <w:tcBorders>
              <w:top w:val="nil"/>
              <w:left w:val="nil"/>
              <w:bottom w:val="nil"/>
              <w:right w:val="single" w:sz="4" w:space="0" w:color="auto"/>
            </w:tcBorders>
            <w:shd w:val="clear" w:color="auto" w:fill="auto"/>
            <w:noWrap/>
            <w:vAlign w:val="bottom"/>
            <w:hideMark/>
          </w:tcPr>
          <w:p w14:paraId="657F69A3"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10,001 to 100,000</w:t>
            </w:r>
          </w:p>
        </w:tc>
        <w:tc>
          <w:tcPr>
            <w:tcW w:w="1700" w:type="dxa"/>
            <w:tcBorders>
              <w:top w:val="nil"/>
              <w:left w:val="nil"/>
              <w:bottom w:val="nil"/>
              <w:right w:val="single" w:sz="4" w:space="0" w:color="auto"/>
            </w:tcBorders>
            <w:shd w:val="clear" w:color="auto" w:fill="auto"/>
            <w:noWrap/>
            <w:vAlign w:val="bottom"/>
            <w:hideMark/>
          </w:tcPr>
          <w:p w14:paraId="64047C29"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 </w:t>
            </w:r>
          </w:p>
        </w:tc>
        <w:tc>
          <w:tcPr>
            <w:tcW w:w="2040" w:type="dxa"/>
            <w:tcBorders>
              <w:top w:val="nil"/>
              <w:left w:val="nil"/>
              <w:bottom w:val="nil"/>
              <w:right w:val="single" w:sz="4" w:space="0" w:color="auto"/>
            </w:tcBorders>
            <w:shd w:val="clear" w:color="auto" w:fill="auto"/>
            <w:noWrap/>
            <w:vAlign w:val="bottom"/>
            <w:hideMark/>
          </w:tcPr>
          <w:p w14:paraId="1B1C2AF5"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 </w:t>
            </w:r>
          </w:p>
        </w:tc>
        <w:tc>
          <w:tcPr>
            <w:tcW w:w="1260" w:type="dxa"/>
            <w:tcBorders>
              <w:top w:val="nil"/>
              <w:left w:val="nil"/>
              <w:bottom w:val="nil"/>
              <w:right w:val="single" w:sz="8" w:space="0" w:color="auto"/>
            </w:tcBorders>
            <w:shd w:val="clear" w:color="auto" w:fill="auto"/>
            <w:noWrap/>
            <w:vAlign w:val="bottom"/>
            <w:hideMark/>
          </w:tcPr>
          <w:p w14:paraId="22A8A85C"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 </w:t>
            </w:r>
          </w:p>
        </w:tc>
      </w:tr>
      <w:tr w:rsidR="007A1FFC" w:rsidRPr="007A1FFC" w14:paraId="15E0EA3A" w14:textId="77777777" w:rsidTr="007A1FFC">
        <w:trPr>
          <w:trHeight w:val="315"/>
        </w:trPr>
        <w:tc>
          <w:tcPr>
            <w:tcW w:w="1780" w:type="dxa"/>
            <w:tcBorders>
              <w:top w:val="single" w:sz="4" w:space="0" w:color="auto"/>
              <w:left w:val="single" w:sz="8" w:space="0" w:color="auto"/>
              <w:bottom w:val="single" w:sz="8" w:space="0" w:color="auto"/>
              <w:right w:val="nil"/>
            </w:tcBorders>
            <w:shd w:val="clear" w:color="auto" w:fill="auto"/>
            <w:noWrap/>
            <w:vAlign w:val="bottom"/>
            <w:hideMark/>
          </w:tcPr>
          <w:p w14:paraId="793F0875"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Extra Large</w:t>
            </w:r>
          </w:p>
        </w:tc>
        <w:tc>
          <w:tcPr>
            <w:tcW w:w="1680" w:type="dxa"/>
            <w:tcBorders>
              <w:top w:val="single" w:sz="4" w:space="0" w:color="auto"/>
              <w:left w:val="nil"/>
              <w:bottom w:val="single" w:sz="8" w:space="0" w:color="auto"/>
              <w:right w:val="single" w:sz="4" w:space="0" w:color="auto"/>
            </w:tcBorders>
            <w:shd w:val="clear" w:color="auto" w:fill="auto"/>
            <w:noWrap/>
            <w:vAlign w:val="bottom"/>
            <w:hideMark/>
          </w:tcPr>
          <w:p w14:paraId="023476DB"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Over 100,000</w:t>
            </w:r>
          </w:p>
        </w:tc>
        <w:tc>
          <w:tcPr>
            <w:tcW w:w="1700" w:type="dxa"/>
            <w:tcBorders>
              <w:top w:val="single" w:sz="4" w:space="0" w:color="auto"/>
              <w:left w:val="nil"/>
              <w:bottom w:val="single" w:sz="8" w:space="0" w:color="auto"/>
              <w:right w:val="single" w:sz="4" w:space="0" w:color="auto"/>
            </w:tcBorders>
            <w:shd w:val="clear" w:color="auto" w:fill="auto"/>
            <w:noWrap/>
            <w:vAlign w:val="bottom"/>
            <w:hideMark/>
          </w:tcPr>
          <w:p w14:paraId="31C056E6"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 </w:t>
            </w:r>
          </w:p>
        </w:tc>
        <w:tc>
          <w:tcPr>
            <w:tcW w:w="2040" w:type="dxa"/>
            <w:tcBorders>
              <w:top w:val="single" w:sz="4" w:space="0" w:color="auto"/>
              <w:left w:val="nil"/>
              <w:bottom w:val="single" w:sz="8" w:space="0" w:color="auto"/>
              <w:right w:val="single" w:sz="4" w:space="0" w:color="auto"/>
            </w:tcBorders>
            <w:shd w:val="clear" w:color="auto" w:fill="auto"/>
            <w:noWrap/>
            <w:vAlign w:val="bottom"/>
            <w:hideMark/>
          </w:tcPr>
          <w:p w14:paraId="3AD276E5"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 </w:t>
            </w:r>
          </w:p>
        </w:tc>
        <w:tc>
          <w:tcPr>
            <w:tcW w:w="1260" w:type="dxa"/>
            <w:tcBorders>
              <w:top w:val="single" w:sz="4" w:space="0" w:color="auto"/>
              <w:left w:val="nil"/>
              <w:bottom w:val="single" w:sz="8" w:space="0" w:color="auto"/>
              <w:right w:val="single" w:sz="8" w:space="0" w:color="auto"/>
            </w:tcBorders>
            <w:shd w:val="clear" w:color="auto" w:fill="auto"/>
            <w:noWrap/>
            <w:vAlign w:val="bottom"/>
            <w:hideMark/>
          </w:tcPr>
          <w:p w14:paraId="372808A8" w14:textId="77777777" w:rsidR="007A1FFC" w:rsidRPr="007A1FFC" w:rsidRDefault="007A1FFC" w:rsidP="007A1FFC">
            <w:pPr>
              <w:widowControl/>
              <w:rPr>
                <w:rFonts w:ascii="Calibri" w:hAnsi="Calibri" w:cs="Calibri"/>
                <w:color w:val="000000"/>
                <w:sz w:val="22"/>
                <w:szCs w:val="22"/>
              </w:rPr>
            </w:pPr>
            <w:r w:rsidRPr="007A1FFC">
              <w:rPr>
                <w:rFonts w:ascii="Calibri" w:hAnsi="Calibri" w:cs="Calibri"/>
                <w:color w:val="000000"/>
                <w:sz w:val="22"/>
                <w:szCs w:val="22"/>
              </w:rPr>
              <w:t> </w:t>
            </w:r>
          </w:p>
        </w:tc>
      </w:tr>
    </w:tbl>
    <w:p w14:paraId="443C8685" w14:textId="77777777" w:rsidR="00685831" w:rsidRPr="00443CF5" w:rsidRDefault="00685831" w:rsidP="006C5F59">
      <w:pPr>
        <w:rPr>
          <w:highlight w:val="cyan"/>
        </w:rPr>
      </w:pPr>
    </w:p>
    <w:p w14:paraId="071F1327" w14:textId="5E7E3DF4" w:rsidR="009B6263" w:rsidRDefault="00A33537" w:rsidP="006C5F59">
      <w:pPr>
        <w:rPr>
          <w:b/>
        </w:rPr>
      </w:pPr>
      <w:r>
        <w:rPr>
          <w:b/>
        </w:rPr>
        <w:t>B</w:t>
      </w:r>
      <w:r w:rsidR="008056FE">
        <w:rPr>
          <w:b/>
        </w:rPr>
        <w:t>.3.</w:t>
      </w:r>
      <w:r w:rsidR="00C61556">
        <w:rPr>
          <w:b/>
        </w:rPr>
        <w:t>6</w:t>
      </w:r>
      <w:r w:rsidR="008056FE">
        <w:rPr>
          <w:b/>
        </w:rPr>
        <w:tab/>
        <w:t xml:space="preserve">Task </w:t>
      </w:r>
      <w:r w:rsidR="00C61556">
        <w:rPr>
          <w:b/>
        </w:rPr>
        <w:t>6</w:t>
      </w:r>
      <w:r w:rsidR="0054536F" w:rsidRPr="007030D3">
        <w:rPr>
          <w:b/>
        </w:rPr>
        <w:t xml:space="preserve">: </w:t>
      </w:r>
      <w:r w:rsidR="00BC13D0" w:rsidRPr="00BC13D0">
        <w:rPr>
          <w:b/>
        </w:rPr>
        <w:t>Prepare a</w:t>
      </w:r>
      <w:r w:rsidR="003378AD">
        <w:rPr>
          <w:b/>
        </w:rPr>
        <w:t xml:space="preserve"> </w:t>
      </w:r>
      <w:r w:rsidR="003378AD" w:rsidRPr="003378AD">
        <w:rPr>
          <w:b/>
        </w:rPr>
        <w:t>508 compliant report according to BOEM’s specifications.</w:t>
      </w:r>
    </w:p>
    <w:p w14:paraId="4E2E6442" w14:textId="4A194726" w:rsidR="0054536F" w:rsidRDefault="009B6263" w:rsidP="006C5F59">
      <w:r w:rsidRPr="009B6263">
        <w:t xml:space="preserve">This report </w:t>
      </w:r>
      <w:r w:rsidR="00D75C90">
        <w:t>presents the data and methods used, data analyses, and significance of findings</w:t>
      </w:r>
      <w:r w:rsidR="00BC13D0" w:rsidRPr="009B6263">
        <w:t>.</w:t>
      </w:r>
      <w:r>
        <w:t xml:space="preserve"> The report will present results from platform and pipelines independently. Further, the results will be presented with the aforementioned timeframe determination. This report will also include data </w:t>
      </w:r>
      <w:r w:rsidR="00995EB6">
        <w:t>used in this study</w:t>
      </w:r>
      <w:r>
        <w:t>.</w:t>
      </w:r>
      <w:r w:rsidR="003D694F">
        <w:t xml:space="preserve"> The report should be</w:t>
      </w:r>
      <w:r w:rsidR="003D694F" w:rsidRPr="003D694F">
        <w:t xml:space="preserve"> 508 compliant</w:t>
      </w:r>
      <w:r w:rsidR="003D694F">
        <w:t xml:space="preserve"> and follow</w:t>
      </w:r>
      <w:r w:rsidR="003D694F" w:rsidRPr="003D694F">
        <w:t xml:space="preserve"> BOEM’s specifications (ESP Report and Footprint Specifications </w:t>
      </w:r>
      <w:hyperlink r:id="rId8" w:history="1">
        <w:r w:rsidR="00EF2B7E" w:rsidRPr="00B60D3A">
          <w:rPr>
            <w:rStyle w:val="Hyperlink"/>
          </w:rPr>
          <w:t>https://www.boem.gov/environment/environmental-studies/report-specifications/esp-report-and-footprint-specifications</w:t>
        </w:r>
      </w:hyperlink>
      <w:r w:rsidR="00EF2B7E">
        <w:t>).</w:t>
      </w:r>
    </w:p>
    <w:p w14:paraId="57EF9AB3" w14:textId="77777777" w:rsidR="00A33537" w:rsidRDefault="00A33537" w:rsidP="006C5F59"/>
    <w:p w14:paraId="31FFDBAD" w14:textId="27E09BED" w:rsidR="00A33537" w:rsidRDefault="00A33537" w:rsidP="00A33537">
      <w:r>
        <w:t xml:space="preserve">The data used for the analysis will be delivered with the draft report. The </w:t>
      </w:r>
      <w:r w:rsidR="00CB2A5F">
        <w:t>Recipient</w:t>
      </w:r>
      <w:r>
        <w:t xml:space="preserve"> shall prepare and deliver a database containing all data used to support the analyses to BOEM with a format and structure agreed upon by BOEM. </w:t>
      </w:r>
      <w:r w:rsidR="003D694F">
        <w:t xml:space="preserve">The data format could be, but are not limited to, </w:t>
      </w:r>
      <w:r w:rsidR="00995EB6" w:rsidRPr="00995EB6">
        <w:t xml:space="preserve">Excel, </w:t>
      </w:r>
      <w:r w:rsidR="00995EB6">
        <w:t xml:space="preserve">csv, </w:t>
      </w:r>
      <w:r w:rsidR="00995EB6" w:rsidRPr="00995EB6">
        <w:t>Python, R</w:t>
      </w:r>
      <w:r w:rsidR="003D694F" w:rsidRPr="003D694F">
        <w:t xml:space="preserve">, </w:t>
      </w:r>
      <w:r w:rsidR="00995EB6">
        <w:t>and/</w:t>
      </w:r>
      <w:r w:rsidR="003D694F" w:rsidRPr="003D694F">
        <w:t>or text</w:t>
      </w:r>
      <w:r w:rsidR="00995EB6">
        <w:t>,</w:t>
      </w:r>
      <w:r w:rsidR="003D694F" w:rsidRPr="003D694F">
        <w:t xml:space="preserve"> with the final dataset formatted and ready to be analyzed so that </w:t>
      </w:r>
      <w:r w:rsidR="003D694F">
        <w:t>the data</w:t>
      </w:r>
      <w:r w:rsidR="003D694F" w:rsidRPr="003D694F">
        <w:t xml:space="preserve"> can </w:t>
      </w:r>
      <w:r w:rsidR="003D694F">
        <w:t>be</w:t>
      </w:r>
      <w:r w:rsidR="003D694F" w:rsidRPr="003D694F">
        <w:t xml:space="preserve"> double check</w:t>
      </w:r>
      <w:r w:rsidR="003D694F">
        <w:t>ed</w:t>
      </w:r>
      <w:r w:rsidR="003D694F" w:rsidRPr="003D694F">
        <w:t xml:space="preserve"> </w:t>
      </w:r>
      <w:r w:rsidR="003D694F">
        <w:t xml:space="preserve">or analyzed </w:t>
      </w:r>
      <w:r w:rsidR="003D694F" w:rsidRPr="003D694F">
        <w:t xml:space="preserve">later to address new questions that </w:t>
      </w:r>
      <w:r w:rsidR="00297298">
        <w:t xml:space="preserve">might </w:t>
      </w:r>
      <w:r w:rsidR="003D694F" w:rsidRPr="003D694F">
        <w:t>come up</w:t>
      </w:r>
      <w:r w:rsidR="003D694F">
        <w:t xml:space="preserve">. </w:t>
      </w:r>
      <w:r>
        <w:t>Th</w:t>
      </w:r>
      <w:r w:rsidR="00297298">
        <w:t>is</w:t>
      </w:r>
      <w:r>
        <w:t xml:space="preserve"> database shall be delivered </w:t>
      </w:r>
      <w:r w:rsidR="00297298">
        <w:t>six</w:t>
      </w:r>
      <w:r>
        <w:t xml:space="preserve"> months </w:t>
      </w:r>
      <w:r w:rsidR="00297298">
        <w:t>before the</w:t>
      </w:r>
      <w:r>
        <w:t xml:space="preserve"> end of</w:t>
      </w:r>
      <w:r w:rsidR="00297298">
        <w:t xml:space="preserve"> the contract</w:t>
      </w:r>
      <w:r>
        <w:t xml:space="preserve"> or at the same time as the draft report</w:t>
      </w:r>
      <w:r w:rsidR="00297298">
        <w:t xml:space="preserve"> delivered</w:t>
      </w:r>
      <w:r>
        <w:t>.</w:t>
      </w:r>
      <w:r w:rsidR="003D694F">
        <w:t xml:space="preserve"> </w:t>
      </w:r>
    </w:p>
    <w:p w14:paraId="64C90E71" w14:textId="77777777" w:rsidR="0054536F" w:rsidRPr="00443CF5" w:rsidRDefault="0054536F" w:rsidP="006C5F59">
      <w:pPr>
        <w:rPr>
          <w:highlight w:val="cyan"/>
        </w:rPr>
      </w:pPr>
    </w:p>
    <w:p w14:paraId="103BF66C" w14:textId="034AD02D" w:rsidR="0054536F" w:rsidRPr="000F3F59" w:rsidRDefault="00850404" w:rsidP="006C5F59">
      <w:pPr>
        <w:rPr>
          <w:b/>
        </w:rPr>
      </w:pPr>
      <w:r>
        <w:rPr>
          <w:b/>
        </w:rPr>
        <w:t>B</w:t>
      </w:r>
      <w:r w:rsidR="0054536F" w:rsidRPr="000F3F59">
        <w:rPr>
          <w:b/>
        </w:rPr>
        <w:t>.4 PROJECT MANAGEMENT</w:t>
      </w:r>
    </w:p>
    <w:p w14:paraId="676939E4" w14:textId="77777777" w:rsidR="0054536F" w:rsidRDefault="0054536F" w:rsidP="006C5F59"/>
    <w:p w14:paraId="58611C01" w14:textId="4B85AF46" w:rsidR="005611FE" w:rsidRDefault="005611FE" w:rsidP="006C5F59">
      <w:r w:rsidRPr="005611FE">
        <w:t xml:space="preserve">The BOEM </w:t>
      </w:r>
      <w:r>
        <w:t>Project Officer (</w:t>
      </w:r>
      <w:r w:rsidRPr="005611FE">
        <w:t>PO</w:t>
      </w:r>
      <w:r>
        <w:t>)</w:t>
      </w:r>
      <w:r w:rsidRPr="005611FE">
        <w:t xml:space="preserve"> will work with the Principal Investigator throughout all project phases. The BOEM PO will participate as a co-principal investigator in the planning of the overall study design, coordination, and decisions concerning the direction of the research. The BOEM PO will identify, process, and apply relevant agency information throughout the project. BOEM scientists will provide assistance in gathering and analyzing in-situ observations that were collected by BOEM and in verifying the results. In particular, BOEM scientists will conduct oil spill data analysis and QA/QC of the data in house. The participation of BOEM scientists will improve the final product of this project. Additionally, the BOEM PO will contribute to the final data analysis and preparation of publications arising from the project.</w:t>
      </w:r>
    </w:p>
    <w:p w14:paraId="57878F40" w14:textId="77777777" w:rsidR="005611FE" w:rsidRPr="000F3F59" w:rsidRDefault="005611FE" w:rsidP="006C5F59"/>
    <w:p w14:paraId="4ADEC38F" w14:textId="5660E10A" w:rsidR="0054536F" w:rsidRPr="000F3F59" w:rsidRDefault="00850404" w:rsidP="006C5F59">
      <w:pPr>
        <w:rPr>
          <w:b/>
        </w:rPr>
      </w:pPr>
      <w:r>
        <w:rPr>
          <w:b/>
        </w:rPr>
        <w:t>B</w:t>
      </w:r>
      <w:r w:rsidR="0054536F" w:rsidRPr="000F3F59">
        <w:rPr>
          <w:b/>
        </w:rPr>
        <w:t xml:space="preserve">.4.1 </w:t>
      </w:r>
      <w:r w:rsidR="0054536F" w:rsidRPr="000F3F59">
        <w:rPr>
          <w:b/>
        </w:rPr>
        <w:tab/>
        <w:t>Project Management Plan (PMP)</w:t>
      </w:r>
    </w:p>
    <w:p w14:paraId="5F0115B8" w14:textId="77777777" w:rsidR="0054536F" w:rsidRPr="00443CF5" w:rsidRDefault="0054536F" w:rsidP="006C5F59">
      <w:pPr>
        <w:rPr>
          <w:highlight w:val="cyan"/>
        </w:rPr>
      </w:pPr>
    </w:p>
    <w:p w14:paraId="47AB2CB4" w14:textId="20BF465C" w:rsidR="0054536F" w:rsidRPr="000F3F59" w:rsidRDefault="0054536F" w:rsidP="006C5F59">
      <w:r w:rsidRPr="000F3F59">
        <w:t xml:space="preserve">The </w:t>
      </w:r>
      <w:r w:rsidR="00CB2A5F">
        <w:t>Recipient</w:t>
      </w:r>
      <w:r w:rsidRPr="000F3F59">
        <w:t xml:space="preserve"> shall op</w:t>
      </w:r>
      <w:r w:rsidR="00BC13D0">
        <w:t>erate under the negotiated PMP.</w:t>
      </w:r>
      <w:r w:rsidRPr="000F3F59">
        <w:t xml:space="preserve"> This plan shall include a Project Manager (PM) with sufficient authority to serve as the Contract Administrator, the point of contact with the </w:t>
      </w:r>
      <w:r w:rsidR="00BC13D0">
        <w:t>B</w:t>
      </w:r>
      <w:r w:rsidR="00681B80">
        <w:t>OEM</w:t>
      </w:r>
      <w:r w:rsidRPr="000F3F59">
        <w:t xml:space="preserve">, and provide leadership to the study </w:t>
      </w:r>
      <w:r w:rsidR="00681B80">
        <w:t>t</w:t>
      </w:r>
      <w:r w:rsidRPr="000F3F59">
        <w:t>eam</w:t>
      </w:r>
      <w:r w:rsidR="00BC13D0">
        <w:t xml:space="preserve">. </w:t>
      </w:r>
      <w:r w:rsidRPr="000F3F59">
        <w:t>The PM will ultimately be responsible for all deliverables, budget control, quality assurance for all products, compliance and adherence with schedule of the study, and that all personnel work synergistically and cooperatively for the common goal of the study</w:t>
      </w:r>
      <w:r w:rsidR="00BC13D0">
        <w:t xml:space="preserve">. </w:t>
      </w:r>
      <w:r w:rsidRPr="000F3F59">
        <w:t>The PMP shall also include description of a Data Management Plan (DMP)</w:t>
      </w:r>
      <w:r w:rsidR="00F0210B">
        <w:t>.</w:t>
      </w:r>
    </w:p>
    <w:p w14:paraId="0CDECEB5" w14:textId="77777777" w:rsidR="0054536F" w:rsidRPr="00443CF5" w:rsidRDefault="0054536F" w:rsidP="006C5F59">
      <w:pPr>
        <w:rPr>
          <w:highlight w:val="cyan"/>
        </w:rPr>
      </w:pPr>
    </w:p>
    <w:p w14:paraId="5AACBD02" w14:textId="09BBE39A" w:rsidR="0054536F" w:rsidRPr="002B77FC" w:rsidRDefault="00BC13D0" w:rsidP="006C5F59">
      <w:bookmarkStart w:id="1" w:name="_Hlk159838485"/>
      <w:r>
        <w:t>B</w:t>
      </w:r>
      <w:r w:rsidR="00681B80">
        <w:t>OEM</w:t>
      </w:r>
      <w:bookmarkEnd w:id="1"/>
      <w:r w:rsidR="0054536F" w:rsidRPr="001717C4">
        <w:t xml:space="preserve"> envisions the project period of </w:t>
      </w:r>
      <w:r w:rsidR="00FE1036">
        <w:t>24</w:t>
      </w:r>
      <w:r w:rsidR="0054536F" w:rsidRPr="00D0278F">
        <w:t xml:space="preserve"> months</w:t>
      </w:r>
      <w:r w:rsidR="0054536F" w:rsidRPr="001717C4">
        <w:t xml:space="preserve"> to </w:t>
      </w:r>
      <w:r>
        <w:t>review the historical data, select the exposure variable</w:t>
      </w:r>
      <w:r w:rsidR="0054536F" w:rsidRPr="001717C4">
        <w:t xml:space="preserve">, </w:t>
      </w:r>
      <w:r>
        <w:t>estimate and normalize rates</w:t>
      </w:r>
      <w:r w:rsidR="00FE1036">
        <w:t>,</w:t>
      </w:r>
      <w:r w:rsidR="0054536F" w:rsidRPr="001717C4">
        <w:t xml:space="preserve"> and complete the final report</w:t>
      </w:r>
      <w:r>
        <w:t xml:space="preserve">. </w:t>
      </w:r>
      <w:r w:rsidR="0054536F" w:rsidRPr="002B77FC">
        <w:t xml:space="preserve">The project period shall encompass all tasks from initial planning, through and including the </w:t>
      </w:r>
      <w:r>
        <w:t>B</w:t>
      </w:r>
      <w:r w:rsidR="00681B80">
        <w:t>OEM</w:t>
      </w:r>
      <w:r w:rsidR="0054536F" w:rsidRPr="002B77FC">
        <w:t xml:space="preserve">’s final acceptance of all deliverables. </w:t>
      </w:r>
      <w:r w:rsidR="0054536F" w:rsidRPr="002B77FC">
        <w:rPr>
          <w:szCs w:val="24"/>
        </w:rPr>
        <w:t xml:space="preserve">The </w:t>
      </w:r>
      <w:r w:rsidR="00CB2A5F">
        <w:rPr>
          <w:szCs w:val="24"/>
        </w:rPr>
        <w:t>Recipient</w:t>
      </w:r>
      <w:r w:rsidR="0054536F" w:rsidRPr="002B77FC">
        <w:rPr>
          <w:szCs w:val="24"/>
        </w:rPr>
        <w:t xml:space="preserve"> shall deliver all required deliverables in accordance with Sections C, E, and F.</w:t>
      </w:r>
    </w:p>
    <w:p w14:paraId="2FDBEBF7" w14:textId="77777777" w:rsidR="0054536F" w:rsidRPr="00443CF5" w:rsidRDefault="0054536F" w:rsidP="006C5F59">
      <w:pPr>
        <w:rPr>
          <w:highlight w:val="cyan"/>
        </w:rPr>
      </w:pPr>
    </w:p>
    <w:p w14:paraId="22F82E56" w14:textId="49EC5848" w:rsidR="0054536F" w:rsidRPr="000F3F59" w:rsidRDefault="00850404" w:rsidP="006C5F59">
      <w:pPr>
        <w:rPr>
          <w:b/>
        </w:rPr>
      </w:pPr>
      <w:r>
        <w:rPr>
          <w:b/>
        </w:rPr>
        <w:t>B</w:t>
      </w:r>
      <w:r w:rsidR="0054536F" w:rsidRPr="000F3F59">
        <w:rPr>
          <w:b/>
        </w:rPr>
        <w:t>.4.2 Data Management Plan (DMP)</w:t>
      </w:r>
    </w:p>
    <w:p w14:paraId="26165749" w14:textId="77777777" w:rsidR="0054536F" w:rsidRPr="00443CF5" w:rsidRDefault="0054536F" w:rsidP="006C5F59">
      <w:pPr>
        <w:rPr>
          <w:highlight w:val="cyan"/>
        </w:rPr>
      </w:pPr>
    </w:p>
    <w:p w14:paraId="421F4E48" w14:textId="7CBFFE0D" w:rsidR="0054536F" w:rsidRPr="000F3F59" w:rsidRDefault="0054536F" w:rsidP="006C5F59">
      <w:r>
        <w:t xml:space="preserve">The </w:t>
      </w:r>
      <w:r w:rsidR="00CB2A5F">
        <w:t>Recipient</w:t>
      </w:r>
      <w:r>
        <w:t xml:space="preserve"> shall develop</w:t>
      </w:r>
      <w:r w:rsidRPr="000F3F59">
        <w:t xml:space="preserve"> a Data Management Plan (DMP) for this study that shall include procedures to handle data collection</w:t>
      </w:r>
      <w:r>
        <w:t>/acquisition</w:t>
      </w:r>
      <w:r w:rsidRPr="000F3F59">
        <w:t xml:space="preserve">, </w:t>
      </w:r>
      <w:r>
        <w:t xml:space="preserve">data storage and backup, </w:t>
      </w:r>
      <w:r w:rsidRPr="000F3F59">
        <w:t>dataset selection (external sources), Quality Assurance/Quality Control (QA/QC) procedures, dissemination and distribution protocols, and archival procedures</w:t>
      </w:r>
      <w:r w:rsidR="00BC13D0">
        <w:t xml:space="preserve">. </w:t>
      </w:r>
      <w:r w:rsidRPr="000F3F59">
        <w:t xml:space="preserve">The DMP shall be submitted to the </w:t>
      </w:r>
      <w:r w:rsidR="00681B80" w:rsidRPr="00681B80">
        <w:t>BOEM</w:t>
      </w:r>
      <w:r w:rsidRPr="000F3F59">
        <w:t xml:space="preserve"> </w:t>
      </w:r>
      <w:r w:rsidR="003378AD" w:rsidRPr="003378AD">
        <w:t>PO</w:t>
      </w:r>
      <w:r w:rsidRPr="000F3F59">
        <w:t xml:space="preserve"> for review and approval prior to implementation</w:t>
      </w:r>
      <w:r w:rsidR="00BC13D0">
        <w:t xml:space="preserve">. </w:t>
      </w:r>
      <w:r w:rsidRPr="000F3F59">
        <w:t>A designated Data Manager shall implement the plan to ensure compliance by all Principal Investigators (PIs) involved with the study</w:t>
      </w:r>
      <w:r w:rsidR="00BC13D0">
        <w:t xml:space="preserve">. </w:t>
      </w:r>
      <w:r w:rsidRPr="000F3F59">
        <w:t xml:space="preserve">After all QA/QC procedures have been completed, results shall be submitted to the </w:t>
      </w:r>
      <w:r w:rsidR="00681B80" w:rsidRPr="00681B80">
        <w:t>BOEM</w:t>
      </w:r>
      <w:r w:rsidRPr="000F3F59">
        <w:t xml:space="preserve"> </w:t>
      </w:r>
      <w:r w:rsidR="003378AD">
        <w:t>PO</w:t>
      </w:r>
      <w:r w:rsidRPr="000F3F59">
        <w:t>.</w:t>
      </w:r>
    </w:p>
    <w:p w14:paraId="460AF3ED" w14:textId="77777777" w:rsidR="0054536F" w:rsidRPr="00443CF5" w:rsidRDefault="0054536F" w:rsidP="006C5F59">
      <w:pPr>
        <w:rPr>
          <w:highlight w:val="cyan"/>
        </w:rPr>
      </w:pPr>
    </w:p>
    <w:p w14:paraId="2D3CA7C9" w14:textId="6F706F55" w:rsidR="0054536F" w:rsidRPr="000F3F59" w:rsidRDefault="0054536F" w:rsidP="006C5F59">
      <w:r w:rsidRPr="002B77FC">
        <w:t>No originals shall be mailed without prior backups</w:t>
      </w:r>
      <w:r w:rsidR="00BC13D0">
        <w:t xml:space="preserve">. </w:t>
      </w:r>
      <w:r w:rsidRPr="002B77FC">
        <w:t xml:space="preserve">These files are proprietary and shall not be used by the </w:t>
      </w:r>
      <w:r w:rsidR="00CB2A5F">
        <w:t>Recipient</w:t>
      </w:r>
      <w:r w:rsidRPr="002B77FC">
        <w:t xml:space="preserve"> for any purpose other than specified by the Contract, unless authorized in writing by the CO, and must be secured at all times</w:t>
      </w:r>
      <w:r w:rsidR="00BC13D0">
        <w:t xml:space="preserve">. </w:t>
      </w:r>
      <w:r w:rsidRPr="002B77FC">
        <w:t xml:space="preserve">When distributed, the </w:t>
      </w:r>
      <w:r w:rsidR="00CB2A5F">
        <w:t>Recipient</w:t>
      </w:r>
      <w:r w:rsidRPr="002B77FC">
        <w:t xml:space="preserve"> shall include language to the data </w:t>
      </w:r>
      <w:r w:rsidR="00CB2A5F">
        <w:t>Recipient</w:t>
      </w:r>
      <w:r w:rsidRPr="002B77FC">
        <w:t xml:space="preserve"> that ensures that the data are not distributed further, and that no publication is done without giving acknowledgement to BOEM.</w:t>
      </w:r>
    </w:p>
    <w:p w14:paraId="0AFD97F3" w14:textId="77777777" w:rsidR="0054536F" w:rsidRPr="000F3F59" w:rsidRDefault="0054536F" w:rsidP="006C5F59">
      <w:r w:rsidRPr="000F3F59">
        <w:tab/>
      </w:r>
    </w:p>
    <w:p w14:paraId="3DBAF528" w14:textId="24229BB5" w:rsidR="0054536F" w:rsidRPr="000F3F59" w:rsidRDefault="00850404" w:rsidP="006C5F59">
      <w:pPr>
        <w:rPr>
          <w:b/>
        </w:rPr>
      </w:pPr>
      <w:r>
        <w:rPr>
          <w:b/>
        </w:rPr>
        <w:t>B</w:t>
      </w:r>
      <w:r w:rsidR="0054536F" w:rsidRPr="000F3F59">
        <w:rPr>
          <w:b/>
        </w:rPr>
        <w:t>.4.3</w:t>
      </w:r>
      <w:r w:rsidR="0054536F" w:rsidRPr="000F3F59">
        <w:rPr>
          <w:b/>
        </w:rPr>
        <w:tab/>
        <w:t>Data Administration</w:t>
      </w:r>
    </w:p>
    <w:p w14:paraId="485BDBFE" w14:textId="77777777" w:rsidR="0054536F" w:rsidRPr="00443CF5" w:rsidRDefault="0054536F" w:rsidP="006C5F59">
      <w:pPr>
        <w:rPr>
          <w:highlight w:val="cyan"/>
        </w:rPr>
      </w:pPr>
    </w:p>
    <w:p w14:paraId="07137EA9" w14:textId="297E31D3" w:rsidR="0054536F" w:rsidRPr="002B77FC" w:rsidRDefault="0054536F" w:rsidP="006C5F59">
      <w:pPr>
        <w:rPr>
          <w:b/>
        </w:rPr>
      </w:pPr>
      <w:r w:rsidRPr="002B77FC">
        <w:t xml:space="preserve">The </w:t>
      </w:r>
      <w:r w:rsidR="00CB2A5F">
        <w:t>Recipient</w:t>
      </w:r>
      <w:r w:rsidRPr="002B77FC">
        <w:t xml:space="preserve"> shall implement a data administration system to be used to ensure continuous evidence of data possession and control with signatures, dates, times, and location of the data being noted</w:t>
      </w:r>
      <w:r w:rsidR="00BC13D0">
        <w:t xml:space="preserve">. </w:t>
      </w:r>
      <w:r w:rsidRPr="002B77FC">
        <w:t xml:space="preserve">The </w:t>
      </w:r>
      <w:r w:rsidR="00CB2A5F">
        <w:t>Recipient</w:t>
      </w:r>
      <w:r w:rsidRPr="002B77FC">
        <w:t xml:space="preserve"> shall ensure the proper formatting and reporting of all data and the distribution of data, as required, to study participants and PIs of other ongoing </w:t>
      </w:r>
      <w:r w:rsidR="00681B80" w:rsidRPr="00681B80">
        <w:t>BOEM</w:t>
      </w:r>
      <w:r w:rsidRPr="002B77FC">
        <w:t xml:space="preserve"> studies.</w:t>
      </w:r>
    </w:p>
    <w:p w14:paraId="11EED5A4" w14:textId="77777777" w:rsidR="0054536F" w:rsidRPr="00443CF5" w:rsidRDefault="0054536F" w:rsidP="006C5F59">
      <w:pPr>
        <w:rPr>
          <w:b/>
          <w:highlight w:val="cyan"/>
        </w:rPr>
      </w:pPr>
    </w:p>
    <w:p w14:paraId="1286A98E" w14:textId="7628D8AF" w:rsidR="0054536F" w:rsidRPr="002B77FC" w:rsidRDefault="00850404" w:rsidP="006C5F59">
      <w:pPr>
        <w:rPr>
          <w:b/>
        </w:rPr>
      </w:pPr>
      <w:r>
        <w:rPr>
          <w:b/>
        </w:rPr>
        <w:t>B</w:t>
      </w:r>
      <w:r w:rsidR="0054536F" w:rsidRPr="002B77FC">
        <w:rPr>
          <w:b/>
        </w:rPr>
        <w:t>.4.4</w:t>
      </w:r>
      <w:r w:rsidR="0054536F" w:rsidRPr="002B77FC">
        <w:rPr>
          <w:b/>
        </w:rPr>
        <w:tab/>
        <w:t>Data Control</w:t>
      </w:r>
    </w:p>
    <w:p w14:paraId="5323702C" w14:textId="77777777" w:rsidR="0054536F" w:rsidRPr="002B77FC" w:rsidRDefault="0054536F" w:rsidP="006C5F59"/>
    <w:p w14:paraId="11931BAF" w14:textId="4404E1CA" w:rsidR="0054536F" w:rsidRPr="002B77FC" w:rsidRDefault="0054536F" w:rsidP="006C5F59">
      <w:r w:rsidRPr="002B77FC">
        <w:t xml:space="preserve">The </w:t>
      </w:r>
      <w:r w:rsidR="00CB2A5F">
        <w:t>Recipient</w:t>
      </w:r>
      <w:r w:rsidRPr="002B77FC">
        <w:t xml:space="preserve"> shall utilize a data inventory control system to monitor study progress, identify gaps in the information acquired, and suggest additional processing requirements</w:t>
      </w:r>
      <w:r w:rsidR="00BC13D0">
        <w:t xml:space="preserve">. </w:t>
      </w:r>
      <w:r w:rsidRPr="002B77FC">
        <w:t xml:space="preserve">The inventory control procedures shall enable the </w:t>
      </w:r>
      <w:r w:rsidR="00CB2A5F">
        <w:t>Recipient</w:t>
      </w:r>
      <w:r w:rsidRPr="002B77FC">
        <w:t xml:space="preserve"> to document data availability, data reduction, and data analysis at each reporting period.</w:t>
      </w:r>
    </w:p>
    <w:p w14:paraId="5399B7EE" w14:textId="77777777" w:rsidR="0054536F" w:rsidRPr="002B77FC" w:rsidRDefault="0054536F" w:rsidP="006C5F59"/>
    <w:p w14:paraId="4B31F782" w14:textId="5EFFC155" w:rsidR="0054536F" w:rsidRPr="002B77FC" w:rsidRDefault="00850404" w:rsidP="006C5F59">
      <w:pPr>
        <w:rPr>
          <w:b/>
        </w:rPr>
      </w:pPr>
      <w:r>
        <w:rPr>
          <w:b/>
        </w:rPr>
        <w:t>B</w:t>
      </w:r>
      <w:r w:rsidR="0054536F" w:rsidRPr="002B77FC">
        <w:rPr>
          <w:b/>
        </w:rPr>
        <w:t>.4.5</w:t>
      </w:r>
      <w:r w:rsidR="0054536F" w:rsidRPr="002B77FC">
        <w:rPr>
          <w:b/>
        </w:rPr>
        <w:tab/>
        <w:t>Data Utilization</w:t>
      </w:r>
    </w:p>
    <w:p w14:paraId="56F10C18" w14:textId="77777777" w:rsidR="0054536F" w:rsidRPr="000F3F59" w:rsidRDefault="0054536F" w:rsidP="006C5F59">
      <w:pPr>
        <w:rPr>
          <w:highlight w:val="yellow"/>
        </w:rPr>
      </w:pPr>
    </w:p>
    <w:p w14:paraId="7869D4B3" w14:textId="416DC6D4" w:rsidR="0054536F" w:rsidRPr="002B77FC" w:rsidRDefault="0054536F" w:rsidP="006C5F59">
      <w:r w:rsidRPr="002B77FC">
        <w:t xml:space="preserve">The </w:t>
      </w:r>
      <w:r w:rsidR="00CB2A5F">
        <w:t>Recipient</w:t>
      </w:r>
      <w:r w:rsidRPr="002B77FC">
        <w:t xml:space="preserve">'s DMP shall ensure that all data are processed, validated, and made available as needed to study participants and other ongoing </w:t>
      </w:r>
      <w:r w:rsidR="00982DA8" w:rsidRPr="00982DA8">
        <w:t>BOEM</w:t>
      </w:r>
      <w:r w:rsidRPr="002B77FC">
        <w:t xml:space="preserve"> studies. The data must be retrievable, as necessary or desirable, for any future analysis.</w:t>
      </w:r>
    </w:p>
    <w:p w14:paraId="0F11CB05" w14:textId="77777777" w:rsidR="0054536F" w:rsidRPr="000F3F59" w:rsidRDefault="0054536F" w:rsidP="006C5F59">
      <w:pPr>
        <w:rPr>
          <w:highlight w:val="yellow"/>
        </w:rPr>
      </w:pPr>
    </w:p>
    <w:p w14:paraId="38A63930" w14:textId="2B111CD5" w:rsidR="0054536F" w:rsidRPr="002B77FC" w:rsidRDefault="00850404" w:rsidP="006C5F59">
      <w:pPr>
        <w:rPr>
          <w:b/>
        </w:rPr>
      </w:pPr>
      <w:r>
        <w:rPr>
          <w:b/>
        </w:rPr>
        <w:t>B</w:t>
      </w:r>
      <w:r w:rsidR="0054536F" w:rsidRPr="002B77FC">
        <w:rPr>
          <w:b/>
        </w:rPr>
        <w:t>.4.6</w:t>
      </w:r>
      <w:r w:rsidR="0054536F" w:rsidRPr="002B77FC">
        <w:rPr>
          <w:b/>
        </w:rPr>
        <w:tab/>
        <w:t>Archiving</w:t>
      </w:r>
    </w:p>
    <w:p w14:paraId="5BECAD05" w14:textId="77777777" w:rsidR="0054536F" w:rsidRPr="00443CF5" w:rsidRDefault="0054536F" w:rsidP="006C5F59">
      <w:pPr>
        <w:rPr>
          <w:highlight w:val="cyan"/>
        </w:rPr>
      </w:pPr>
    </w:p>
    <w:p w14:paraId="21B676B4" w14:textId="4341F029" w:rsidR="0054536F" w:rsidRPr="002B77FC" w:rsidRDefault="0054536F" w:rsidP="006C5F59">
      <w:r w:rsidRPr="002B77FC">
        <w:t xml:space="preserve">The </w:t>
      </w:r>
      <w:r w:rsidR="00CB2A5F">
        <w:t>Recipient</w:t>
      </w:r>
      <w:r w:rsidRPr="002B77FC">
        <w:t xml:space="preserve"> shall provide a method for the safe storage and easy retrieval of all measurement results, acquired data, photographs, and video</w:t>
      </w:r>
      <w:r w:rsidR="00BC13D0">
        <w:t xml:space="preserve">. </w:t>
      </w:r>
      <w:r w:rsidRPr="002B77FC">
        <w:t xml:space="preserve">The </w:t>
      </w:r>
      <w:r w:rsidR="00CB2A5F">
        <w:t>Recipient</w:t>
      </w:r>
      <w:r w:rsidRPr="002B77FC">
        <w:t xml:space="preserve"> shall ensure that no loss of information occurs in any processing step taking place prior to archiving</w:t>
      </w:r>
      <w:r w:rsidR="00BC13D0">
        <w:t xml:space="preserve">. </w:t>
      </w:r>
      <w:r w:rsidRPr="002B77FC">
        <w:t>The PM shall inventory the data and verify the presence of any and all necessary documentation prior to archiving</w:t>
      </w:r>
      <w:r w:rsidR="00BC13D0">
        <w:t xml:space="preserve">. </w:t>
      </w:r>
      <w:r w:rsidRPr="002B77FC">
        <w:t>Original data shall be copied as early as possible and original copies shall never be mailed until at least one verified copy has been made</w:t>
      </w:r>
      <w:r w:rsidR="00BC13D0">
        <w:t xml:space="preserve">. </w:t>
      </w:r>
      <w:r w:rsidRPr="002B77FC">
        <w:t xml:space="preserve">The </w:t>
      </w:r>
      <w:r w:rsidR="00CB2A5F">
        <w:t>Recipient</w:t>
      </w:r>
      <w:r w:rsidRPr="002B77FC">
        <w:t xml:space="preserve"> shall retain a copy of the information collection logs a</w:t>
      </w:r>
      <w:r w:rsidR="005D3D67">
        <w:t xml:space="preserve">nd information delivered to </w:t>
      </w:r>
      <w:r w:rsidR="00982DA8" w:rsidRPr="00982DA8">
        <w:t>BOEM</w:t>
      </w:r>
      <w:r w:rsidR="005D3D67">
        <w:t xml:space="preserve"> </w:t>
      </w:r>
      <w:r w:rsidRPr="002B77FC">
        <w:t>for a period of one year from the Contract completion date.</w:t>
      </w:r>
    </w:p>
    <w:p w14:paraId="6FF4A1B8" w14:textId="77777777" w:rsidR="0054536F" w:rsidRPr="00443CF5" w:rsidRDefault="0054536F" w:rsidP="006C5F59">
      <w:pPr>
        <w:rPr>
          <w:highlight w:val="cyan"/>
        </w:rPr>
      </w:pPr>
    </w:p>
    <w:p w14:paraId="16ECF0E1" w14:textId="71259764" w:rsidR="0054536F" w:rsidRPr="00D0278F" w:rsidRDefault="00850404" w:rsidP="006C5F59">
      <w:pPr>
        <w:rPr>
          <w:b/>
        </w:rPr>
      </w:pPr>
      <w:bookmarkStart w:id="2" w:name="_Hlk162860615"/>
      <w:r>
        <w:rPr>
          <w:b/>
        </w:rPr>
        <w:t>B</w:t>
      </w:r>
      <w:r w:rsidR="0054536F" w:rsidRPr="00D0278F">
        <w:rPr>
          <w:b/>
        </w:rPr>
        <w:t>.4.7</w:t>
      </w:r>
      <w:r w:rsidR="0054536F">
        <w:rPr>
          <w:b/>
        </w:rPr>
        <w:tab/>
      </w:r>
      <w:r w:rsidR="00982DA8" w:rsidRPr="00982DA8">
        <w:rPr>
          <w:b/>
        </w:rPr>
        <w:t>BOEM</w:t>
      </w:r>
      <w:r w:rsidR="0054536F" w:rsidRPr="00D0278F">
        <w:rPr>
          <w:b/>
        </w:rPr>
        <w:t xml:space="preserve"> Data </w:t>
      </w:r>
    </w:p>
    <w:bookmarkEnd w:id="2"/>
    <w:p w14:paraId="1AE1A3E9" w14:textId="77777777" w:rsidR="0054536F" w:rsidRPr="00443CF5" w:rsidRDefault="0054536F" w:rsidP="006C5F59">
      <w:pPr>
        <w:rPr>
          <w:highlight w:val="cyan"/>
        </w:rPr>
      </w:pPr>
    </w:p>
    <w:p w14:paraId="5D59CFA6" w14:textId="598AD821" w:rsidR="0054536F" w:rsidRDefault="0054536F" w:rsidP="000E235F">
      <w:pPr>
        <w:keepNext/>
        <w:rPr>
          <w:b/>
        </w:rPr>
      </w:pPr>
      <w:r w:rsidRPr="00D0278F">
        <w:t xml:space="preserve">The </w:t>
      </w:r>
      <w:r w:rsidR="00CB2A5F">
        <w:t>Recipient</w:t>
      </w:r>
      <w:r w:rsidRPr="00D0278F">
        <w:t xml:space="preserve"> shall submit digital copies of all data used in </w:t>
      </w:r>
      <w:r w:rsidR="00982DA8">
        <w:t>this study</w:t>
      </w:r>
      <w:r w:rsidR="00BC13D0">
        <w:t xml:space="preserve">. </w:t>
      </w:r>
      <w:r w:rsidRPr="00D0278F">
        <w:t>This deliverable shall be completed after all QA/QC procedures are finalized</w:t>
      </w:r>
      <w:r w:rsidR="00BC13D0">
        <w:t xml:space="preserve">. </w:t>
      </w:r>
      <w:r w:rsidRPr="00D0278F">
        <w:t xml:space="preserve">The preferred format of the files shall be determined based on an agreement between the </w:t>
      </w:r>
      <w:r w:rsidR="003378AD">
        <w:t>PO</w:t>
      </w:r>
      <w:r w:rsidRPr="00D0278F">
        <w:t xml:space="preserve"> and the </w:t>
      </w:r>
      <w:r w:rsidR="00CB2A5F">
        <w:t>Recipient</w:t>
      </w:r>
      <w:r w:rsidRPr="00D0278F">
        <w:t xml:space="preserve"> at the Post-Award meeting</w:t>
      </w:r>
      <w:r w:rsidR="00BC13D0">
        <w:t xml:space="preserve">. </w:t>
      </w:r>
      <w:r w:rsidRPr="00D0278F">
        <w:t xml:space="preserve">Any changes in data formats during the contract period of performance must be agreed upon in advance by the Government and the </w:t>
      </w:r>
      <w:r w:rsidR="00CB2A5F">
        <w:t>Recipient</w:t>
      </w:r>
      <w:r w:rsidR="00BC13D0">
        <w:t xml:space="preserve">. </w:t>
      </w:r>
      <w:r w:rsidRPr="00D0278F">
        <w:t xml:space="preserve">The </w:t>
      </w:r>
      <w:r w:rsidR="00CB2A5F">
        <w:t>Recipient</w:t>
      </w:r>
      <w:r w:rsidRPr="00D0278F">
        <w:t xml:space="preserve"> shall be responsible for the submission of the Contract data to the </w:t>
      </w:r>
      <w:r w:rsidR="00982DA8" w:rsidRPr="00982DA8">
        <w:t>BOEM</w:t>
      </w:r>
      <w:r w:rsidRPr="00D0278F">
        <w:t xml:space="preserve"> in digital format according to the schedule in </w:t>
      </w:r>
      <w:r w:rsidRPr="00D0278F">
        <w:lastRenderedPageBreak/>
        <w:t>Section F.5.</w:t>
      </w:r>
    </w:p>
    <w:p w14:paraId="72F16A42" w14:textId="77777777" w:rsidR="005611FE" w:rsidRPr="00443CF5" w:rsidRDefault="005611FE" w:rsidP="002E00F3">
      <w:pPr>
        <w:rPr>
          <w:highlight w:val="cyan"/>
        </w:rPr>
      </w:pPr>
    </w:p>
    <w:p w14:paraId="515A77E3" w14:textId="58C9CF93" w:rsidR="002E00F3" w:rsidRPr="00D0278F" w:rsidRDefault="00850404" w:rsidP="002E00F3">
      <w:pPr>
        <w:rPr>
          <w:b/>
        </w:rPr>
      </w:pPr>
      <w:r>
        <w:rPr>
          <w:b/>
        </w:rPr>
        <w:t>B</w:t>
      </w:r>
      <w:r w:rsidR="002E00F3" w:rsidRPr="00D0278F">
        <w:rPr>
          <w:b/>
        </w:rPr>
        <w:t>.4.</w:t>
      </w:r>
      <w:r w:rsidR="002E00F3">
        <w:rPr>
          <w:b/>
        </w:rPr>
        <w:t>8</w:t>
      </w:r>
      <w:r w:rsidR="002E00F3">
        <w:rPr>
          <w:b/>
        </w:rPr>
        <w:tab/>
        <w:t>References</w:t>
      </w:r>
      <w:r w:rsidR="002E00F3" w:rsidRPr="00D0278F">
        <w:rPr>
          <w:b/>
        </w:rPr>
        <w:t xml:space="preserve"> </w:t>
      </w:r>
    </w:p>
    <w:p w14:paraId="2EED7772" w14:textId="77777777" w:rsidR="00C31416" w:rsidRDefault="00C31416" w:rsidP="00C31416">
      <w:pPr>
        <w:widowControl/>
        <w:spacing w:after="200" w:line="276" w:lineRule="auto"/>
        <w:rPr>
          <w:bCs/>
        </w:rPr>
      </w:pPr>
    </w:p>
    <w:p w14:paraId="1F1A4A46" w14:textId="5AAFAE61" w:rsidR="00C31416" w:rsidRPr="00C31416" w:rsidRDefault="00C31416" w:rsidP="00C31416">
      <w:pPr>
        <w:widowControl/>
        <w:spacing w:after="200" w:line="276" w:lineRule="auto"/>
        <w:rPr>
          <w:bCs/>
        </w:rPr>
      </w:pPr>
      <w:r w:rsidRPr="00C31416">
        <w:rPr>
          <w:bCs/>
        </w:rPr>
        <w:t>ABS Consulting, Inc. 2016. 2016 Update of Occurrence Rates for Offshore Oil Spills.  Prepared by ABS Consulting Inc. for USDOI, BOEM/BSEE.  Sterling, VA: USDOI, BOEM/BSEE. 95 pp.</w:t>
      </w:r>
    </w:p>
    <w:p w14:paraId="59800160" w14:textId="31E28907" w:rsidR="0054536F" w:rsidRDefault="00C31416" w:rsidP="00C31416">
      <w:pPr>
        <w:widowControl/>
        <w:spacing w:after="200" w:line="276" w:lineRule="auto"/>
        <w:rPr>
          <w:bCs/>
        </w:rPr>
      </w:pPr>
      <w:r w:rsidRPr="00C31416">
        <w:rPr>
          <w:bCs/>
        </w:rPr>
        <w:t>ABS Consulting, Inc. 2018.  US Outer Continental Shelf Oil Spill Statistics OCS Study BOEM 2018-006.  Anchorage, AK: USDOI, BOEM, Alaska OCS Region.  44 pp.</w:t>
      </w:r>
    </w:p>
    <w:p w14:paraId="62F15F09" w14:textId="1F626AFF" w:rsidR="00982DA8" w:rsidRPr="00C31416" w:rsidRDefault="00982DA8" w:rsidP="00982DA8">
      <w:pPr>
        <w:widowControl/>
        <w:spacing w:after="200" w:line="276" w:lineRule="auto"/>
        <w:rPr>
          <w:bCs/>
        </w:rPr>
      </w:pPr>
      <w:bookmarkStart w:id="3" w:name="_Hlk159768083"/>
      <w:r w:rsidRPr="00C31416">
        <w:rPr>
          <w:bCs/>
        </w:rPr>
        <w:t xml:space="preserve">Anderson, C.M. Mayes, M., and LaBelle, R.P.  2012.  Update of Occurrence Rates for Offshore Oil Spills. Bureau of Ocean Energy Management OCS Report 2012-069. Bureau of Ocean Energy Management, Herndon, VA </w:t>
      </w:r>
    </w:p>
    <w:p w14:paraId="6946E89F" w14:textId="5504B4A3" w:rsidR="003341A1" w:rsidRDefault="003341A1">
      <w:pPr>
        <w:widowControl/>
        <w:spacing w:after="200" w:line="276" w:lineRule="auto"/>
        <w:rPr>
          <w:bCs/>
        </w:rPr>
      </w:pPr>
      <w:r w:rsidRPr="003341A1">
        <w:rPr>
          <w:bCs/>
        </w:rPr>
        <w:t>Aziz, S. and Dowling, M., 2019</w:t>
      </w:r>
      <w:bookmarkEnd w:id="3"/>
      <w:r w:rsidRPr="003341A1">
        <w:rPr>
          <w:bCs/>
        </w:rPr>
        <w:t>. Machine learning and AI for risk management. Disrupting finance: FinTech and strategy in the 21st century, pp.33-50.</w:t>
      </w:r>
    </w:p>
    <w:p w14:paraId="6876E35E" w14:textId="2B54A901" w:rsidR="00552E33" w:rsidRDefault="00552E33">
      <w:pPr>
        <w:widowControl/>
        <w:spacing w:after="200" w:line="276" w:lineRule="auto"/>
        <w:rPr>
          <w:bCs/>
        </w:rPr>
      </w:pPr>
      <w:r w:rsidRPr="00552E33">
        <w:rPr>
          <w:bCs/>
        </w:rPr>
        <w:t xml:space="preserve">De Kerf, T., </w:t>
      </w:r>
      <w:proofErr w:type="spellStart"/>
      <w:r w:rsidRPr="00552E33">
        <w:rPr>
          <w:bCs/>
        </w:rPr>
        <w:t>Gladines</w:t>
      </w:r>
      <w:proofErr w:type="spellEnd"/>
      <w:r w:rsidRPr="00552E33">
        <w:rPr>
          <w:bCs/>
        </w:rPr>
        <w:t xml:space="preserve">, J., Sels, S. and </w:t>
      </w:r>
      <w:proofErr w:type="spellStart"/>
      <w:r w:rsidRPr="00552E33">
        <w:rPr>
          <w:bCs/>
        </w:rPr>
        <w:t>Vanlanduit</w:t>
      </w:r>
      <w:proofErr w:type="spellEnd"/>
      <w:r w:rsidRPr="00552E33">
        <w:rPr>
          <w:bCs/>
        </w:rPr>
        <w:t>, S., 2020. Oil spill detection using machine learning and infrared images. Remote sensing, 12(24), p.4090.</w:t>
      </w:r>
    </w:p>
    <w:p w14:paraId="7A7F44C6" w14:textId="0CDB19A5" w:rsidR="00FE205E" w:rsidRDefault="00FE205E" w:rsidP="00FE205E">
      <w:pPr>
        <w:widowControl/>
        <w:spacing w:after="200" w:line="276" w:lineRule="auto"/>
        <w:rPr>
          <w:bCs/>
        </w:rPr>
      </w:pPr>
      <w:r w:rsidRPr="00FE205E">
        <w:rPr>
          <w:bCs/>
        </w:rPr>
        <w:t>Eschenbach, T. G. and Harper, W. V. 2006. Estimators for the Beaufort/Chukchi Sea</w:t>
      </w:r>
      <w:r>
        <w:rPr>
          <w:bCs/>
        </w:rPr>
        <w:t xml:space="preserve"> </w:t>
      </w:r>
      <w:r w:rsidRPr="00FE205E">
        <w:rPr>
          <w:bCs/>
        </w:rPr>
        <w:t>OCS (Statistical Approach). Anchorage, AK: USDOI, MMS, Alaska OCS</w:t>
      </w:r>
      <w:r>
        <w:rPr>
          <w:bCs/>
        </w:rPr>
        <w:t xml:space="preserve"> </w:t>
      </w:r>
      <w:r w:rsidRPr="00FE205E">
        <w:rPr>
          <w:bCs/>
        </w:rPr>
        <w:t>Region; 2006; OCS Study MMS 2006-059.</w:t>
      </w:r>
    </w:p>
    <w:p w14:paraId="01ED0F38" w14:textId="2955D829" w:rsidR="00726135" w:rsidRDefault="00726135">
      <w:pPr>
        <w:widowControl/>
        <w:spacing w:after="200" w:line="276" w:lineRule="auto"/>
        <w:rPr>
          <w:bCs/>
        </w:rPr>
      </w:pPr>
      <w:r w:rsidRPr="00726135">
        <w:rPr>
          <w:bCs/>
        </w:rPr>
        <w:t>Haupt, S.E., Pasini, A. and Marzban, C. eds., 2008. Artificial intelligence methods in the environmental sciences. Springer Science &amp; Business Media.</w:t>
      </w:r>
    </w:p>
    <w:p w14:paraId="67EC6C7B" w14:textId="0681E697" w:rsidR="00E90BD4" w:rsidRDefault="00E90BD4">
      <w:pPr>
        <w:widowControl/>
        <w:spacing w:after="200" w:line="276" w:lineRule="auto"/>
        <w:rPr>
          <w:bCs/>
        </w:rPr>
      </w:pPr>
      <w:r w:rsidRPr="00E90BD4">
        <w:rPr>
          <w:bCs/>
        </w:rPr>
        <w:t xml:space="preserve">Industrial Economics Inc. 2023. Forecasting environmental and social externalities associated with Outer Continental Shelf (OCS) oil and gas development, volume 1: 2023 revised Offshore Environmental Cost Model (OECM). Sterling (VA): U.S. Department of the Interior, Bureau of Ocean Energy Management. Report No.: OCS Study BOEM 2023-056.  </w:t>
      </w:r>
      <w:hyperlink r:id="rId9" w:history="1">
        <w:r w:rsidRPr="00803587">
          <w:rPr>
            <w:rStyle w:val="Hyperlink"/>
            <w:bCs/>
          </w:rPr>
          <w:t>https://espis.boem.gov/Final%20Reports/BOEM_2023-056.pdf</w:t>
        </w:r>
      </w:hyperlink>
      <w:r>
        <w:rPr>
          <w:bCs/>
        </w:rPr>
        <w:t xml:space="preserve"> </w:t>
      </w:r>
    </w:p>
    <w:p w14:paraId="58A6D252" w14:textId="0CC24353" w:rsidR="00C31416" w:rsidRDefault="005105FC" w:rsidP="005105FC">
      <w:pPr>
        <w:widowControl/>
        <w:spacing w:after="200" w:line="276" w:lineRule="auto"/>
        <w:rPr>
          <w:bCs/>
        </w:rPr>
      </w:pPr>
      <w:r w:rsidRPr="005105FC">
        <w:rPr>
          <w:bCs/>
        </w:rPr>
        <w:t xml:space="preserve">Ji, Z.-G. and </w:t>
      </w:r>
      <w:r>
        <w:rPr>
          <w:bCs/>
        </w:rPr>
        <w:t>Shiff</w:t>
      </w:r>
      <w:r w:rsidRPr="005105FC">
        <w:rPr>
          <w:bCs/>
        </w:rPr>
        <w:t xml:space="preserve">, </w:t>
      </w:r>
      <w:r>
        <w:rPr>
          <w:bCs/>
        </w:rPr>
        <w:t>J.</w:t>
      </w:r>
      <w:r w:rsidRPr="005105FC">
        <w:rPr>
          <w:bCs/>
        </w:rPr>
        <w:t xml:space="preserve"> 20</w:t>
      </w:r>
      <w:r>
        <w:rPr>
          <w:bCs/>
        </w:rPr>
        <w:t>23</w:t>
      </w:r>
      <w:r w:rsidRPr="005105FC">
        <w:rPr>
          <w:bCs/>
        </w:rPr>
        <w:t>. Oil spill risk analysis: Gulf of Mexico Outer Continental Shelf (OCS) Lease Sales in the Eastern Planning Area, Central Planning Area, and Western Planning Area and Gulf-wide OCS Program, OCS Report 20</w:t>
      </w:r>
      <w:r>
        <w:rPr>
          <w:bCs/>
        </w:rPr>
        <w:t>23</w:t>
      </w:r>
      <w:r w:rsidRPr="005105FC">
        <w:rPr>
          <w:bCs/>
        </w:rPr>
        <w:t>-0</w:t>
      </w:r>
      <w:r>
        <w:rPr>
          <w:bCs/>
        </w:rPr>
        <w:t>26</w:t>
      </w:r>
      <w:r w:rsidRPr="005105FC">
        <w:rPr>
          <w:bCs/>
        </w:rPr>
        <w:t>. Bureau of Ocean Energy Management, Sterling, VA.</w:t>
      </w:r>
    </w:p>
    <w:p w14:paraId="2BC8EC69" w14:textId="224541D9" w:rsidR="00FE205E" w:rsidRDefault="00FE205E" w:rsidP="005105FC">
      <w:pPr>
        <w:widowControl/>
        <w:spacing w:after="200" w:line="276" w:lineRule="auto"/>
        <w:rPr>
          <w:bCs/>
        </w:rPr>
      </w:pPr>
      <w:r w:rsidRPr="00FE205E">
        <w:rPr>
          <w:bCs/>
        </w:rPr>
        <w:t>Lanfear, K.J. and Amstutz, D.E. 1983. A Reexamination of Occurrence Rates for Accidental Oil Spills on the U.S. Outer Continental Shelf, 1983 Oil Spill Conference, American Petroleum Institute, Washington, DC</w:t>
      </w:r>
    </w:p>
    <w:p w14:paraId="6A6CACAA" w14:textId="0D2DE6C1" w:rsidR="00E157C5" w:rsidRDefault="00E157C5" w:rsidP="005105FC">
      <w:pPr>
        <w:widowControl/>
        <w:spacing w:after="200" w:line="276" w:lineRule="auto"/>
        <w:rPr>
          <w:bCs/>
        </w:rPr>
      </w:pPr>
      <w:r w:rsidRPr="00E157C5">
        <w:rPr>
          <w:bCs/>
        </w:rPr>
        <w:lastRenderedPageBreak/>
        <w:t xml:space="preserve">Myers J, Roberts B, Lee B, Hill S (ABS Consulting, Inc., Arlington, VA). 2018. US outer continental shelf oil spill causal factors report. Anchorage (AK): U.S. Department of the Interior, Bureau of Ocean Energy Management, Alaska OCS Region. 36 p. Report No.: OCS Study BOEM 2018-032. </w:t>
      </w:r>
      <w:hyperlink r:id="rId10" w:history="1">
        <w:r w:rsidRPr="00316DE9">
          <w:rPr>
            <w:rStyle w:val="Hyperlink"/>
            <w:bCs/>
          </w:rPr>
          <w:t>https://espis.boem.gov/final%20reports/BOEM_2018-032.pdf</w:t>
        </w:r>
      </w:hyperlink>
      <w:r>
        <w:rPr>
          <w:bCs/>
        </w:rPr>
        <w:t xml:space="preserve"> </w:t>
      </w:r>
    </w:p>
    <w:p w14:paraId="0FB392C4" w14:textId="2C7D749B" w:rsidR="002E00F3" w:rsidRDefault="00C5667E">
      <w:pPr>
        <w:widowControl/>
        <w:spacing w:after="200" w:line="276" w:lineRule="auto"/>
        <w:rPr>
          <w:bCs/>
        </w:rPr>
      </w:pPr>
      <w:proofErr w:type="spellStart"/>
      <w:r w:rsidRPr="00C5667E">
        <w:rPr>
          <w:bCs/>
        </w:rPr>
        <w:t>Mohammadiun</w:t>
      </w:r>
      <w:proofErr w:type="spellEnd"/>
      <w:r w:rsidRPr="00C5667E">
        <w:rPr>
          <w:bCs/>
        </w:rPr>
        <w:t>, S., 2023. Selection and optimization of marine oil spill response operations using artificial intelligence and soft computing techniques (Doctoral dissertation, University of British Columbia).</w:t>
      </w:r>
    </w:p>
    <w:p w14:paraId="39FF2031" w14:textId="39A0F191" w:rsidR="00FE205E" w:rsidRDefault="00FE205E" w:rsidP="00FE205E">
      <w:pPr>
        <w:widowControl/>
        <w:spacing w:after="200" w:line="276" w:lineRule="auto"/>
        <w:rPr>
          <w:bCs/>
        </w:rPr>
      </w:pPr>
      <w:proofErr w:type="spellStart"/>
      <w:r w:rsidRPr="00FE205E">
        <w:rPr>
          <w:bCs/>
        </w:rPr>
        <w:t>Nakassis</w:t>
      </w:r>
      <w:proofErr w:type="spellEnd"/>
      <w:r w:rsidRPr="00FE205E">
        <w:rPr>
          <w:bCs/>
        </w:rPr>
        <w:t xml:space="preserve">, Anastase. 1982. Has Offshore Oil Production Become </w:t>
      </w:r>
      <w:proofErr w:type="gramStart"/>
      <w:r w:rsidRPr="00FE205E">
        <w:rPr>
          <w:bCs/>
        </w:rPr>
        <w:t>Safer?,</w:t>
      </w:r>
      <w:proofErr w:type="gramEnd"/>
      <w:r w:rsidRPr="00FE205E">
        <w:rPr>
          <w:bCs/>
        </w:rPr>
        <w:t xml:space="preserve"> U.S. Geological</w:t>
      </w:r>
      <w:r>
        <w:rPr>
          <w:bCs/>
        </w:rPr>
        <w:t xml:space="preserve"> </w:t>
      </w:r>
      <w:r w:rsidRPr="00FE205E">
        <w:rPr>
          <w:bCs/>
        </w:rPr>
        <w:t>Survey Open-File Report 82-232.</w:t>
      </w:r>
    </w:p>
    <w:p w14:paraId="12284588" w14:textId="58666D81" w:rsidR="00E157C5" w:rsidRDefault="00726135" w:rsidP="00E157C5">
      <w:pPr>
        <w:widowControl/>
        <w:spacing w:after="200" w:line="276" w:lineRule="auto"/>
        <w:rPr>
          <w:bCs/>
        </w:rPr>
      </w:pPr>
      <w:r w:rsidRPr="00726135">
        <w:rPr>
          <w:bCs/>
        </w:rPr>
        <w:t>Norvig, P. and Russell, S., 2021. Artificial intelligence: a modern approach, Global Edition. Pearson, Harlow, 1, pp.1239-1269.</w:t>
      </w:r>
    </w:p>
    <w:p w14:paraId="2390A389" w14:textId="3AC243AE" w:rsidR="00850404" w:rsidRDefault="00850404" w:rsidP="00850404">
      <w:pPr>
        <w:widowControl/>
        <w:spacing w:after="200" w:line="276" w:lineRule="auto"/>
        <w:rPr>
          <w:bCs/>
        </w:rPr>
      </w:pPr>
      <w:r w:rsidRPr="00850404">
        <w:rPr>
          <w:bCs/>
        </w:rPr>
        <w:t>Robertson TL, Campbell LK, Pearson L, Higman B. 2013. Oil spill occurrence rates for Alaska North</w:t>
      </w:r>
      <w:r>
        <w:rPr>
          <w:bCs/>
        </w:rPr>
        <w:t xml:space="preserve"> </w:t>
      </w:r>
      <w:r w:rsidRPr="00850404">
        <w:rPr>
          <w:bCs/>
        </w:rPr>
        <w:t>Slope crude &amp; refined oil Spills. Report to the Bureau of Ocean and Energy Management.</w:t>
      </w:r>
      <w:r>
        <w:rPr>
          <w:bCs/>
        </w:rPr>
        <w:t xml:space="preserve"> </w:t>
      </w:r>
      <w:hyperlink r:id="rId11" w:history="1">
        <w:r w:rsidRPr="00B60D3A">
          <w:rPr>
            <w:rStyle w:val="Hyperlink"/>
            <w:bCs/>
          </w:rPr>
          <w:t>https://www.boem.gov/sites/default/files/uploadedFiles/BOEM/BOEM_Newsroom/Library/Publications/2013-0205.pdf</w:t>
        </w:r>
      </w:hyperlink>
      <w:r>
        <w:rPr>
          <w:bCs/>
        </w:rPr>
        <w:t xml:space="preserve"> </w:t>
      </w:r>
    </w:p>
    <w:p w14:paraId="519C6B8E" w14:textId="792DC59F" w:rsidR="00850404" w:rsidRPr="00850404" w:rsidRDefault="00850404" w:rsidP="00850404">
      <w:pPr>
        <w:widowControl/>
        <w:spacing w:after="200" w:line="276" w:lineRule="auto"/>
        <w:rPr>
          <w:bCs/>
        </w:rPr>
      </w:pPr>
      <w:r w:rsidRPr="00850404">
        <w:rPr>
          <w:bCs/>
        </w:rPr>
        <w:t xml:space="preserve">Robertson T, Campbell LK, Fletcher S (Nuka Research and Planning Group, LLC, </w:t>
      </w:r>
      <w:proofErr w:type="spellStart"/>
      <w:r w:rsidRPr="00850404">
        <w:rPr>
          <w:bCs/>
        </w:rPr>
        <w:t>Seldovia</w:t>
      </w:r>
      <w:proofErr w:type="spellEnd"/>
      <w:r w:rsidRPr="00850404">
        <w:rPr>
          <w:bCs/>
        </w:rPr>
        <w:t>, AK). 2020</w:t>
      </w:r>
      <w:r>
        <w:rPr>
          <w:bCs/>
        </w:rPr>
        <w:t>a</w:t>
      </w:r>
      <w:r w:rsidRPr="00850404">
        <w:rPr>
          <w:bCs/>
        </w:rPr>
        <w:t xml:space="preserve">. Oil spill occurrence rates from Alaska North Slope oil and gas exploration, development, and production. Anchorage (AK): U.S. Department of the Interior, Bureau of Ocean Energy Management, Alaska OCS Region. 84 p. Report No.: OCS Study BOEM 2020-050. </w:t>
      </w:r>
      <w:hyperlink r:id="rId12" w:history="1">
        <w:r w:rsidRPr="00B60D3A">
          <w:rPr>
            <w:rStyle w:val="Hyperlink"/>
            <w:bCs/>
          </w:rPr>
          <w:t>https://espis.boem.gov/final%20reports/BOEM_2020-050.pdf</w:t>
        </w:r>
      </w:hyperlink>
      <w:r>
        <w:rPr>
          <w:bCs/>
        </w:rPr>
        <w:t xml:space="preserve"> </w:t>
      </w:r>
    </w:p>
    <w:p w14:paraId="51B4971C" w14:textId="6C035E11" w:rsidR="00850404" w:rsidRPr="00E157C5" w:rsidRDefault="00850404" w:rsidP="00850404">
      <w:pPr>
        <w:widowControl/>
        <w:spacing w:after="200" w:line="276" w:lineRule="auto"/>
        <w:rPr>
          <w:bCs/>
        </w:rPr>
      </w:pPr>
      <w:r w:rsidRPr="00850404">
        <w:rPr>
          <w:bCs/>
        </w:rPr>
        <w:t xml:space="preserve">Robertson T, Campbell LK, Fletcher S (Nuka Research and Planning Group, LLC, </w:t>
      </w:r>
      <w:proofErr w:type="spellStart"/>
      <w:r w:rsidRPr="00850404">
        <w:rPr>
          <w:bCs/>
        </w:rPr>
        <w:t>Seldovia</w:t>
      </w:r>
      <w:proofErr w:type="spellEnd"/>
      <w:r w:rsidRPr="00850404">
        <w:rPr>
          <w:bCs/>
        </w:rPr>
        <w:t>, AK). 2020</w:t>
      </w:r>
      <w:r>
        <w:rPr>
          <w:bCs/>
        </w:rPr>
        <w:t>b</w:t>
      </w:r>
      <w:r w:rsidRPr="00850404">
        <w:rPr>
          <w:bCs/>
        </w:rPr>
        <w:t xml:space="preserve">. Oil spill occurrence rates for Cook Inlet Alaska oil and gas exploration, development, and production. Anchorage (AK): U.S. Department of the Interior, Bureau of Ocean Energy Management, Alaska OCS Region. 81 p. Report No.: OCS Study BOEM 2020-051. </w:t>
      </w:r>
      <w:hyperlink r:id="rId13" w:history="1">
        <w:r w:rsidRPr="00B60D3A">
          <w:rPr>
            <w:rStyle w:val="Hyperlink"/>
            <w:bCs/>
          </w:rPr>
          <w:t>https://espis.boem.gov/final%20reports/BOEM_2020-051.pdf</w:t>
        </w:r>
      </w:hyperlink>
      <w:r>
        <w:rPr>
          <w:bCs/>
        </w:rPr>
        <w:t xml:space="preserve"> </w:t>
      </w:r>
    </w:p>
    <w:p w14:paraId="1BBCD4D1" w14:textId="7797B5AF" w:rsidR="00E157C5" w:rsidRPr="002E00F3" w:rsidRDefault="00E157C5">
      <w:pPr>
        <w:widowControl/>
        <w:spacing w:after="200" w:line="276" w:lineRule="auto"/>
        <w:rPr>
          <w:bCs/>
        </w:rPr>
      </w:pPr>
      <w:proofErr w:type="spellStart"/>
      <w:r w:rsidRPr="00E157C5">
        <w:rPr>
          <w:bCs/>
        </w:rPr>
        <w:t>Stalfort</w:t>
      </w:r>
      <w:proofErr w:type="spellEnd"/>
      <w:r w:rsidRPr="00E157C5">
        <w:rPr>
          <w:bCs/>
        </w:rPr>
        <w:t xml:space="preserve"> D, Roberts B, </w:t>
      </w:r>
      <w:proofErr w:type="spellStart"/>
      <w:r w:rsidRPr="00E157C5">
        <w:rPr>
          <w:bCs/>
        </w:rPr>
        <w:t>Culvern</w:t>
      </w:r>
      <w:proofErr w:type="spellEnd"/>
      <w:r w:rsidRPr="00E157C5">
        <w:rPr>
          <w:bCs/>
        </w:rPr>
        <w:t xml:space="preserve"> C (ABSG Consulting, Inc., Spring, TX). 2021. Alternative Oil Spill Occurrence Estimators for Determining Rates for the Atlantic Outer Continental Shelf. Sterling (VA): US Department of the Interior, Bureau of Ocean Energy Management. 97 p. Report No.: OCS Study BOEM 021-065. </w:t>
      </w:r>
      <w:hyperlink r:id="rId14" w:history="1">
        <w:r w:rsidRPr="00316DE9">
          <w:rPr>
            <w:rStyle w:val="Hyperlink"/>
            <w:bCs/>
          </w:rPr>
          <w:t>https://espis.boem.gov/final%20reports/BOEM_2021-065.pdf</w:t>
        </w:r>
      </w:hyperlink>
      <w:r>
        <w:rPr>
          <w:bCs/>
        </w:rPr>
        <w:t xml:space="preserve"> </w:t>
      </w:r>
    </w:p>
    <w:sectPr w:rsidR="00E157C5" w:rsidRPr="002E00F3" w:rsidSect="00336627">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1E996D" w14:textId="77777777" w:rsidR="00BF1C63" w:rsidRDefault="00BF1C63" w:rsidP="003645F7">
      <w:r>
        <w:separator/>
      </w:r>
    </w:p>
  </w:endnote>
  <w:endnote w:type="continuationSeparator" w:id="0">
    <w:p w14:paraId="172ED695" w14:textId="77777777" w:rsidR="00BF1C63" w:rsidRDefault="00BF1C63" w:rsidP="00364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Palatino">
    <w:altName w:val="Malgun Gothic Semilight"/>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8348032"/>
      <w:docPartObj>
        <w:docPartGallery w:val="Page Numbers (Bottom of Page)"/>
        <w:docPartUnique/>
      </w:docPartObj>
    </w:sdtPr>
    <w:sdtContent>
      <w:sdt>
        <w:sdtPr>
          <w:id w:val="860082579"/>
          <w:docPartObj>
            <w:docPartGallery w:val="Page Numbers (Top of Page)"/>
            <w:docPartUnique/>
          </w:docPartObj>
        </w:sdtPr>
        <w:sdtContent>
          <w:p w14:paraId="50921088" w14:textId="77777777" w:rsidR="007F7028" w:rsidRDefault="007F702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0C7A6D">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C7A6D">
              <w:rPr>
                <w:b/>
                <w:bCs/>
                <w:noProof/>
              </w:rPr>
              <w:t>23</w:t>
            </w:r>
            <w:r>
              <w:rPr>
                <w:b/>
                <w:bCs/>
                <w:sz w:val="24"/>
                <w:szCs w:val="24"/>
              </w:rPr>
              <w:fldChar w:fldCharType="end"/>
            </w:r>
          </w:p>
        </w:sdtContent>
      </w:sdt>
    </w:sdtContent>
  </w:sdt>
  <w:p w14:paraId="0E9100FC" w14:textId="77777777" w:rsidR="007F7028" w:rsidRPr="00902037" w:rsidRDefault="007F7028" w:rsidP="009020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4B569F" w14:textId="77777777" w:rsidR="00BF1C63" w:rsidRDefault="00BF1C63" w:rsidP="003645F7">
      <w:r>
        <w:separator/>
      </w:r>
    </w:p>
  </w:footnote>
  <w:footnote w:type="continuationSeparator" w:id="0">
    <w:p w14:paraId="5039B698" w14:textId="77777777" w:rsidR="00BF1C63" w:rsidRDefault="00BF1C63" w:rsidP="003645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0"/>
    <w:lvl w:ilvl="0">
      <w:start w:val="1"/>
      <w:numFmt w:val="lowerLetter"/>
      <w:pStyle w:val="Level1"/>
      <w:lvlText w:val="%1."/>
      <w:lvlJc w:val="left"/>
      <w:pPr>
        <w:tabs>
          <w:tab w:val="num" w:pos="720"/>
        </w:tabs>
        <w:ind w:left="720" w:hanging="720"/>
      </w:pPr>
      <w:rPr>
        <w:rFonts w:ascii="Times New Roman" w:hAnsi="Times New Roman" w:cs="Times New Roman"/>
        <w:sz w:val="24"/>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23A26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3C3630"/>
    <w:multiLevelType w:val="hybridMultilevel"/>
    <w:tmpl w:val="1CF42D8A"/>
    <w:lvl w:ilvl="0" w:tplc="579ECA18">
      <w:start w:val="1"/>
      <w:numFmt w:val="decimal"/>
      <w:lvlText w:val="L.%1"/>
      <w:lvlJc w:val="left"/>
      <w:pPr>
        <w:tabs>
          <w:tab w:val="num" w:pos="360"/>
        </w:tabs>
        <w:ind w:left="360" w:hanging="360"/>
      </w:pPr>
      <w:rPr>
        <w:rFonts w:cs="Times New Roman" w:hint="default"/>
      </w:rPr>
    </w:lvl>
    <w:lvl w:ilvl="1" w:tplc="28F0E918">
      <w:start w:val="1"/>
      <w:numFmt w:val="lowerLetter"/>
      <w:lvlText w:val="%2."/>
      <w:lvlJc w:val="left"/>
      <w:pPr>
        <w:tabs>
          <w:tab w:val="num" w:pos="990"/>
        </w:tabs>
        <w:ind w:left="990" w:hanging="360"/>
      </w:pPr>
      <w:rPr>
        <w:rFonts w:cs="Times New Roman"/>
        <w:b w:val="0"/>
        <w:i w:val="0"/>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1531217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662E56"/>
    <w:multiLevelType w:val="hybridMultilevel"/>
    <w:tmpl w:val="1A8CD2C8"/>
    <w:lvl w:ilvl="0" w:tplc="2C42296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1A8234FD"/>
    <w:multiLevelType w:val="hybridMultilevel"/>
    <w:tmpl w:val="619276BA"/>
    <w:lvl w:ilvl="0" w:tplc="C9C65B48">
      <w:start w:val="1"/>
      <w:numFmt w:val="low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6" w15:restartNumberingAfterBreak="0">
    <w:nsid w:val="25C4182B"/>
    <w:multiLevelType w:val="hybridMultilevel"/>
    <w:tmpl w:val="B83EC6FC"/>
    <w:lvl w:ilvl="0" w:tplc="65E448FC">
      <w:start w:val="1"/>
      <w:numFmt w:val="bullet"/>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DC47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8E14D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D214DE3"/>
    <w:multiLevelType w:val="hybridMultilevel"/>
    <w:tmpl w:val="5A32A14C"/>
    <w:lvl w:ilvl="0" w:tplc="9410C5C2">
      <w:start w:val="3"/>
      <w:numFmt w:val="bullet"/>
      <w:lvlText w:val="-"/>
      <w:lvlJc w:val="left"/>
      <w:pPr>
        <w:ind w:left="1080" w:hanging="360"/>
      </w:pPr>
      <w:rPr>
        <w:rFonts w:ascii="Calibri" w:eastAsia="Times New Roman"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02A3F2F"/>
    <w:multiLevelType w:val="singleLevel"/>
    <w:tmpl w:val="D3F60386"/>
    <w:lvl w:ilvl="0">
      <w:start w:val="1"/>
      <w:numFmt w:val="decimal"/>
      <w:lvlText w:val="M.%1"/>
      <w:lvlJc w:val="left"/>
      <w:pPr>
        <w:tabs>
          <w:tab w:val="num" w:pos="360"/>
        </w:tabs>
        <w:ind w:left="360" w:hanging="360"/>
      </w:pPr>
      <w:rPr>
        <w:rFonts w:cs="Times New Roman" w:hint="default"/>
      </w:rPr>
    </w:lvl>
  </w:abstractNum>
  <w:abstractNum w:abstractNumId="11" w15:restartNumberingAfterBreak="0">
    <w:nsid w:val="541624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C6A091A"/>
    <w:multiLevelType w:val="hybridMultilevel"/>
    <w:tmpl w:val="AB94E85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5DD049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A691DE3"/>
    <w:multiLevelType w:val="hybridMultilevel"/>
    <w:tmpl w:val="DF42704A"/>
    <w:lvl w:ilvl="0" w:tplc="FEC09DB6">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7D655A6E"/>
    <w:multiLevelType w:val="multilevel"/>
    <w:tmpl w:val="EFCAC234"/>
    <w:lvl w:ilvl="0">
      <w:start w:val="52"/>
      <w:numFmt w:val="decimal"/>
      <w:lvlText w:val="%1"/>
      <w:lvlJc w:val="left"/>
      <w:pPr>
        <w:tabs>
          <w:tab w:val="num" w:pos="1170"/>
        </w:tabs>
        <w:ind w:left="1170" w:hanging="1170"/>
      </w:pPr>
      <w:rPr>
        <w:rFonts w:cs="Times New Roman" w:hint="default"/>
      </w:rPr>
    </w:lvl>
    <w:lvl w:ilvl="1">
      <w:start w:val="246"/>
      <w:numFmt w:val="decimal"/>
      <w:lvlText w:val="%1.%2"/>
      <w:lvlJc w:val="left"/>
      <w:pPr>
        <w:tabs>
          <w:tab w:val="num" w:pos="1170"/>
        </w:tabs>
        <w:ind w:left="1170" w:hanging="1170"/>
      </w:pPr>
      <w:rPr>
        <w:rFonts w:cs="Times New Roman" w:hint="default"/>
      </w:rPr>
    </w:lvl>
    <w:lvl w:ilvl="2">
      <w:start w:val="5"/>
      <w:numFmt w:val="decimal"/>
      <w:lvlText w:val="%1.%2-%3"/>
      <w:lvlJc w:val="left"/>
      <w:pPr>
        <w:tabs>
          <w:tab w:val="num" w:pos="1170"/>
        </w:tabs>
        <w:ind w:left="1170" w:hanging="1170"/>
      </w:pPr>
      <w:rPr>
        <w:rFonts w:cs="Times New Roman" w:hint="default"/>
      </w:rPr>
    </w:lvl>
    <w:lvl w:ilvl="3">
      <w:start w:val="1"/>
      <w:numFmt w:val="decimal"/>
      <w:lvlText w:val="%1.%2-%3.%4"/>
      <w:lvlJc w:val="left"/>
      <w:pPr>
        <w:tabs>
          <w:tab w:val="num" w:pos="1170"/>
        </w:tabs>
        <w:ind w:left="1170" w:hanging="1170"/>
      </w:pPr>
      <w:rPr>
        <w:rFonts w:cs="Times New Roman" w:hint="default"/>
      </w:rPr>
    </w:lvl>
    <w:lvl w:ilvl="4">
      <w:start w:val="1"/>
      <w:numFmt w:val="decimal"/>
      <w:lvlText w:val="%1.%2-%3.%4.%5"/>
      <w:lvlJc w:val="left"/>
      <w:pPr>
        <w:tabs>
          <w:tab w:val="num" w:pos="1170"/>
        </w:tabs>
        <w:ind w:left="1170" w:hanging="1170"/>
      </w:pPr>
      <w:rPr>
        <w:rFonts w:cs="Times New Roman" w:hint="default"/>
      </w:rPr>
    </w:lvl>
    <w:lvl w:ilvl="5">
      <w:start w:val="1"/>
      <w:numFmt w:val="decimal"/>
      <w:lvlText w:val="%1.%2-%3.%4.%5.%6"/>
      <w:lvlJc w:val="left"/>
      <w:pPr>
        <w:tabs>
          <w:tab w:val="num" w:pos="1170"/>
        </w:tabs>
        <w:ind w:left="1170" w:hanging="117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779569760">
    <w:abstractNumId w:val="6"/>
  </w:num>
  <w:num w:numId="2" w16cid:durableId="742484990">
    <w:abstractNumId w:val="15"/>
  </w:num>
  <w:num w:numId="3" w16cid:durableId="71046701">
    <w:abstractNumId w:val="13"/>
  </w:num>
  <w:num w:numId="4" w16cid:durableId="1595241830">
    <w:abstractNumId w:val="11"/>
  </w:num>
  <w:num w:numId="5" w16cid:durableId="109014837">
    <w:abstractNumId w:val="3"/>
  </w:num>
  <w:num w:numId="6" w16cid:durableId="1664820928">
    <w:abstractNumId w:val="7"/>
  </w:num>
  <w:num w:numId="7" w16cid:durableId="123470815">
    <w:abstractNumId w:val="1"/>
  </w:num>
  <w:num w:numId="8" w16cid:durableId="688410615">
    <w:abstractNumId w:val="8"/>
  </w:num>
  <w:num w:numId="9" w16cid:durableId="1489322051">
    <w:abstractNumId w:val="0"/>
    <w:lvlOverride w:ilvl="0">
      <w:startOverride w:val="2"/>
      <w:lvl w:ilvl="0">
        <w:start w:val="2"/>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0" w16cid:durableId="312369964">
    <w:abstractNumId w:val="12"/>
  </w:num>
  <w:num w:numId="11" w16cid:durableId="2104521702">
    <w:abstractNumId w:val="2"/>
  </w:num>
  <w:num w:numId="12" w16cid:durableId="2022049833">
    <w:abstractNumId w:val="5"/>
  </w:num>
  <w:num w:numId="13" w16cid:durableId="455225365">
    <w:abstractNumId w:val="10"/>
  </w:num>
  <w:num w:numId="14" w16cid:durableId="1945921461">
    <w:abstractNumId w:val="14"/>
  </w:num>
  <w:num w:numId="15" w16cid:durableId="430587088">
    <w:abstractNumId w:val="4"/>
  </w:num>
  <w:num w:numId="16" w16cid:durableId="8595827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924"/>
    <w:rsid w:val="00001368"/>
    <w:rsid w:val="00004F74"/>
    <w:rsid w:val="000061C0"/>
    <w:rsid w:val="0000666D"/>
    <w:rsid w:val="00014489"/>
    <w:rsid w:val="00015E90"/>
    <w:rsid w:val="000169CC"/>
    <w:rsid w:val="000205A7"/>
    <w:rsid w:val="00024627"/>
    <w:rsid w:val="00030856"/>
    <w:rsid w:val="0003341F"/>
    <w:rsid w:val="00034072"/>
    <w:rsid w:val="000341C9"/>
    <w:rsid w:val="0003429B"/>
    <w:rsid w:val="000346DA"/>
    <w:rsid w:val="00034A70"/>
    <w:rsid w:val="00040FA5"/>
    <w:rsid w:val="0004210D"/>
    <w:rsid w:val="00044CC2"/>
    <w:rsid w:val="00046D8B"/>
    <w:rsid w:val="00050BC5"/>
    <w:rsid w:val="00051BCD"/>
    <w:rsid w:val="00061433"/>
    <w:rsid w:val="0006285C"/>
    <w:rsid w:val="00067634"/>
    <w:rsid w:val="00072A62"/>
    <w:rsid w:val="00073849"/>
    <w:rsid w:val="00074A85"/>
    <w:rsid w:val="00077C5E"/>
    <w:rsid w:val="0008041C"/>
    <w:rsid w:val="000850A1"/>
    <w:rsid w:val="0009229A"/>
    <w:rsid w:val="00095358"/>
    <w:rsid w:val="00096B47"/>
    <w:rsid w:val="000A1E83"/>
    <w:rsid w:val="000A3982"/>
    <w:rsid w:val="000B2544"/>
    <w:rsid w:val="000C1935"/>
    <w:rsid w:val="000C1A93"/>
    <w:rsid w:val="000C2024"/>
    <w:rsid w:val="000C2AE2"/>
    <w:rsid w:val="000C5C56"/>
    <w:rsid w:val="000C7A6D"/>
    <w:rsid w:val="000D0D87"/>
    <w:rsid w:val="000D0FAB"/>
    <w:rsid w:val="000D2465"/>
    <w:rsid w:val="000D2A14"/>
    <w:rsid w:val="000D2C68"/>
    <w:rsid w:val="000E235F"/>
    <w:rsid w:val="000E4466"/>
    <w:rsid w:val="000E63D3"/>
    <w:rsid w:val="000E7BD1"/>
    <w:rsid w:val="000F099E"/>
    <w:rsid w:val="000F32F1"/>
    <w:rsid w:val="000F3F59"/>
    <w:rsid w:val="000F52AB"/>
    <w:rsid w:val="000F6073"/>
    <w:rsid w:val="00100A06"/>
    <w:rsid w:val="00104F24"/>
    <w:rsid w:val="00106FE3"/>
    <w:rsid w:val="00110796"/>
    <w:rsid w:val="00114C0B"/>
    <w:rsid w:val="001153FC"/>
    <w:rsid w:val="0011576D"/>
    <w:rsid w:val="00122403"/>
    <w:rsid w:val="00123B57"/>
    <w:rsid w:val="00123BE4"/>
    <w:rsid w:val="0012423D"/>
    <w:rsid w:val="00124464"/>
    <w:rsid w:val="001247A2"/>
    <w:rsid w:val="0012575F"/>
    <w:rsid w:val="00125F62"/>
    <w:rsid w:val="001334E4"/>
    <w:rsid w:val="00133C8B"/>
    <w:rsid w:val="00133D01"/>
    <w:rsid w:val="0013426C"/>
    <w:rsid w:val="00135E61"/>
    <w:rsid w:val="00140012"/>
    <w:rsid w:val="00144978"/>
    <w:rsid w:val="00146B4D"/>
    <w:rsid w:val="001479AA"/>
    <w:rsid w:val="00151F3A"/>
    <w:rsid w:val="00152D13"/>
    <w:rsid w:val="00154528"/>
    <w:rsid w:val="00155607"/>
    <w:rsid w:val="00162841"/>
    <w:rsid w:val="001717C4"/>
    <w:rsid w:val="001719AF"/>
    <w:rsid w:val="001747DB"/>
    <w:rsid w:val="00176A13"/>
    <w:rsid w:val="0017765E"/>
    <w:rsid w:val="00180461"/>
    <w:rsid w:val="00191CE0"/>
    <w:rsid w:val="00192FF6"/>
    <w:rsid w:val="001A3246"/>
    <w:rsid w:val="001B30F3"/>
    <w:rsid w:val="001B437F"/>
    <w:rsid w:val="001B4FD8"/>
    <w:rsid w:val="001B75F7"/>
    <w:rsid w:val="001C1899"/>
    <w:rsid w:val="001C3A73"/>
    <w:rsid w:val="001D20AE"/>
    <w:rsid w:val="001D552B"/>
    <w:rsid w:val="001D5B7A"/>
    <w:rsid w:val="001D5D36"/>
    <w:rsid w:val="001E0949"/>
    <w:rsid w:val="001E1EE5"/>
    <w:rsid w:val="001E2856"/>
    <w:rsid w:val="001E7D42"/>
    <w:rsid w:val="001F06A0"/>
    <w:rsid w:val="001F5268"/>
    <w:rsid w:val="001F5572"/>
    <w:rsid w:val="00202674"/>
    <w:rsid w:val="00205BD6"/>
    <w:rsid w:val="00210266"/>
    <w:rsid w:val="00213966"/>
    <w:rsid w:val="002144F7"/>
    <w:rsid w:val="002155FA"/>
    <w:rsid w:val="00222731"/>
    <w:rsid w:val="00223A0E"/>
    <w:rsid w:val="00224CBE"/>
    <w:rsid w:val="00225F5A"/>
    <w:rsid w:val="00226A43"/>
    <w:rsid w:val="00232387"/>
    <w:rsid w:val="0023298B"/>
    <w:rsid w:val="002448CB"/>
    <w:rsid w:val="0024541C"/>
    <w:rsid w:val="00246C41"/>
    <w:rsid w:val="00247EF1"/>
    <w:rsid w:val="00256AE0"/>
    <w:rsid w:val="0026001D"/>
    <w:rsid w:val="00266D28"/>
    <w:rsid w:val="00271DD2"/>
    <w:rsid w:val="00271E8B"/>
    <w:rsid w:val="00272FAA"/>
    <w:rsid w:val="002838E7"/>
    <w:rsid w:val="00283C35"/>
    <w:rsid w:val="002849AF"/>
    <w:rsid w:val="00287FB2"/>
    <w:rsid w:val="002919D5"/>
    <w:rsid w:val="0029217A"/>
    <w:rsid w:val="00292AB9"/>
    <w:rsid w:val="00293FD3"/>
    <w:rsid w:val="0029581E"/>
    <w:rsid w:val="00297298"/>
    <w:rsid w:val="002977AD"/>
    <w:rsid w:val="002A03C9"/>
    <w:rsid w:val="002A0F0E"/>
    <w:rsid w:val="002A110A"/>
    <w:rsid w:val="002A1526"/>
    <w:rsid w:val="002A2DCA"/>
    <w:rsid w:val="002A366A"/>
    <w:rsid w:val="002A4F8D"/>
    <w:rsid w:val="002A51CC"/>
    <w:rsid w:val="002B0227"/>
    <w:rsid w:val="002B1205"/>
    <w:rsid w:val="002B39BB"/>
    <w:rsid w:val="002B3D43"/>
    <w:rsid w:val="002B77FC"/>
    <w:rsid w:val="002C14B3"/>
    <w:rsid w:val="002C2FB4"/>
    <w:rsid w:val="002C55CD"/>
    <w:rsid w:val="002C5D9E"/>
    <w:rsid w:val="002D18EB"/>
    <w:rsid w:val="002D7B85"/>
    <w:rsid w:val="002E00F3"/>
    <w:rsid w:val="002E0A32"/>
    <w:rsid w:val="002E3FE3"/>
    <w:rsid w:val="002E5132"/>
    <w:rsid w:val="002E6323"/>
    <w:rsid w:val="002F0687"/>
    <w:rsid w:val="002F51FC"/>
    <w:rsid w:val="0030043C"/>
    <w:rsid w:val="00303654"/>
    <w:rsid w:val="00304462"/>
    <w:rsid w:val="00305090"/>
    <w:rsid w:val="003209A7"/>
    <w:rsid w:val="0032103C"/>
    <w:rsid w:val="0032418F"/>
    <w:rsid w:val="00325C88"/>
    <w:rsid w:val="003311BC"/>
    <w:rsid w:val="00331F18"/>
    <w:rsid w:val="003341A1"/>
    <w:rsid w:val="00336303"/>
    <w:rsid w:val="00336627"/>
    <w:rsid w:val="003378AD"/>
    <w:rsid w:val="0034347A"/>
    <w:rsid w:val="00347D02"/>
    <w:rsid w:val="00351EA1"/>
    <w:rsid w:val="0035672D"/>
    <w:rsid w:val="003570A6"/>
    <w:rsid w:val="003610EF"/>
    <w:rsid w:val="003645F7"/>
    <w:rsid w:val="00366D5F"/>
    <w:rsid w:val="003673B2"/>
    <w:rsid w:val="00372784"/>
    <w:rsid w:val="003757A6"/>
    <w:rsid w:val="00375E59"/>
    <w:rsid w:val="00375F4B"/>
    <w:rsid w:val="00376732"/>
    <w:rsid w:val="00381AD9"/>
    <w:rsid w:val="00382F31"/>
    <w:rsid w:val="003833E9"/>
    <w:rsid w:val="00383866"/>
    <w:rsid w:val="00385530"/>
    <w:rsid w:val="00390AB2"/>
    <w:rsid w:val="00396BA1"/>
    <w:rsid w:val="00396D75"/>
    <w:rsid w:val="003A5E9E"/>
    <w:rsid w:val="003A6C8E"/>
    <w:rsid w:val="003A77D9"/>
    <w:rsid w:val="003C4BD8"/>
    <w:rsid w:val="003C6058"/>
    <w:rsid w:val="003D11A1"/>
    <w:rsid w:val="003D1682"/>
    <w:rsid w:val="003D3B9A"/>
    <w:rsid w:val="003D4169"/>
    <w:rsid w:val="003D694F"/>
    <w:rsid w:val="003D765C"/>
    <w:rsid w:val="003E023E"/>
    <w:rsid w:val="003E3D65"/>
    <w:rsid w:val="003E70D3"/>
    <w:rsid w:val="003E7241"/>
    <w:rsid w:val="003F1208"/>
    <w:rsid w:val="003F3E3D"/>
    <w:rsid w:val="003F7A43"/>
    <w:rsid w:val="00401001"/>
    <w:rsid w:val="004019F1"/>
    <w:rsid w:val="004026AA"/>
    <w:rsid w:val="00403007"/>
    <w:rsid w:val="00403FF0"/>
    <w:rsid w:val="00404B3F"/>
    <w:rsid w:val="004054F3"/>
    <w:rsid w:val="0041113E"/>
    <w:rsid w:val="004115A1"/>
    <w:rsid w:val="0041794E"/>
    <w:rsid w:val="0042126F"/>
    <w:rsid w:val="0042615D"/>
    <w:rsid w:val="00432E0A"/>
    <w:rsid w:val="00433E7B"/>
    <w:rsid w:val="00436047"/>
    <w:rsid w:val="00440160"/>
    <w:rsid w:val="00440B0C"/>
    <w:rsid w:val="00441B7C"/>
    <w:rsid w:val="0044277B"/>
    <w:rsid w:val="00443CF5"/>
    <w:rsid w:val="00450206"/>
    <w:rsid w:val="004544D6"/>
    <w:rsid w:val="00455ADD"/>
    <w:rsid w:val="00455D60"/>
    <w:rsid w:val="00456917"/>
    <w:rsid w:val="004576EC"/>
    <w:rsid w:val="0046332F"/>
    <w:rsid w:val="004635D4"/>
    <w:rsid w:val="004662EC"/>
    <w:rsid w:val="004770D4"/>
    <w:rsid w:val="00477C8A"/>
    <w:rsid w:val="00481595"/>
    <w:rsid w:val="00485B3B"/>
    <w:rsid w:val="00486D4F"/>
    <w:rsid w:val="00491FAE"/>
    <w:rsid w:val="004A0F18"/>
    <w:rsid w:val="004A2824"/>
    <w:rsid w:val="004B323A"/>
    <w:rsid w:val="004B5D8F"/>
    <w:rsid w:val="004B6365"/>
    <w:rsid w:val="004B7B10"/>
    <w:rsid w:val="004D0836"/>
    <w:rsid w:val="004D2646"/>
    <w:rsid w:val="004D344A"/>
    <w:rsid w:val="004D3CBD"/>
    <w:rsid w:val="004D4065"/>
    <w:rsid w:val="004D5D38"/>
    <w:rsid w:val="004D762C"/>
    <w:rsid w:val="004E162F"/>
    <w:rsid w:val="004E3794"/>
    <w:rsid w:val="004E6E1A"/>
    <w:rsid w:val="004F0D9D"/>
    <w:rsid w:val="004F1D51"/>
    <w:rsid w:val="004F4465"/>
    <w:rsid w:val="004F4E67"/>
    <w:rsid w:val="004F616B"/>
    <w:rsid w:val="004F6CA7"/>
    <w:rsid w:val="00500AB4"/>
    <w:rsid w:val="00505B2E"/>
    <w:rsid w:val="005105FC"/>
    <w:rsid w:val="00511454"/>
    <w:rsid w:val="0051171D"/>
    <w:rsid w:val="005121AB"/>
    <w:rsid w:val="00512527"/>
    <w:rsid w:val="00513920"/>
    <w:rsid w:val="0051418A"/>
    <w:rsid w:val="005143F5"/>
    <w:rsid w:val="00521340"/>
    <w:rsid w:val="005230D7"/>
    <w:rsid w:val="005231FF"/>
    <w:rsid w:val="0052691B"/>
    <w:rsid w:val="00530339"/>
    <w:rsid w:val="0053355E"/>
    <w:rsid w:val="00534A0E"/>
    <w:rsid w:val="00536565"/>
    <w:rsid w:val="005366BF"/>
    <w:rsid w:val="005423C4"/>
    <w:rsid w:val="00542933"/>
    <w:rsid w:val="00544049"/>
    <w:rsid w:val="00544AA1"/>
    <w:rsid w:val="0054536F"/>
    <w:rsid w:val="005456CA"/>
    <w:rsid w:val="00546828"/>
    <w:rsid w:val="0055053C"/>
    <w:rsid w:val="00552E33"/>
    <w:rsid w:val="005531E8"/>
    <w:rsid w:val="00554997"/>
    <w:rsid w:val="00555AB6"/>
    <w:rsid w:val="00557ED8"/>
    <w:rsid w:val="0056035F"/>
    <w:rsid w:val="005611FE"/>
    <w:rsid w:val="005616E7"/>
    <w:rsid w:val="00564074"/>
    <w:rsid w:val="00566824"/>
    <w:rsid w:val="00570F6B"/>
    <w:rsid w:val="005777FA"/>
    <w:rsid w:val="00581C3D"/>
    <w:rsid w:val="005856DC"/>
    <w:rsid w:val="005868BA"/>
    <w:rsid w:val="0058734F"/>
    <w:rsid w:val="005909E0"/>
    <w:rsid w:val="00590AAD"/>
    <w:rsid w:val="00592214"/>
    <w:rsid w:val="0059345B"/>
    <w:rsid w:val="00594BFF"/>
    <w:rsid w:val="00596813"/>
    <w:rsid w:val="00597C4A"/>
    <w:rsid w:val="005A04AB"/>
    <w:rsid w:val="005A3C54"/>
    <w:rsid w:val="005A4E49"/>
    <w:rsid w:val="005A5D22"/>
    <w:rsid w:val="005A682E"/>
    <w:rsid w:val="005B05E2"/>
    <w:rsid w:val="005B0E0E"/>
    <w:rsid w:val="005B21AD"/>
    <w:rsid w:val="005B49B0"/>
    <w:rsid w:val="005C03D5"/>
    <w:rsid w:val="005C0542"/>
    <w:rsid w:val="005C3AD6"/>
    <w:rsid w:val="005C7AC1"/>
    <w:rsid w:val="005D04B8"/>
    <w:rsid w:val="005D3D67"/>
    <w:rsid w:val="005D733A"/>
    <w:rsid w:val="005D788D"/>
    <w:rsid w:val="005E02D5"/>
    <w:rsid w:val="005E0648"/>
    <w:rsid w:val="005E0A62"/>
    <w:rsid w:val="005E1918"/>
    <w:rsid w:val="005E1C9D"/>
    <w:rsid w:val="005F38BA"/>
    <w:rsid w:val="005F3DCB"/>
    <w:rsid w:val="005F5F8D"/>
    <w:rsid w:val="006024FE"/>
    <w:rsid w:val="006038B9"/>
    <w:rsid w:val="00607FB7"/>
    <w:rsid w:val="00610DCC"/>
    <w:rsid w:val="006116F9"/>
    <w:rsid w:val="00612C52"/>
    <w:rsid w:val="0061512E"/>
    <w:rsid w:val="006157A7"/>
    <w:rsid w:val="00617A32"/>
    <w:rsid w:val="00617CF1"/>
    <w:rsid w:val="006219FD"/>
    <w:rsid w:val="00623C7B"/>
    <w:rsid w:val="00627116"/>
    <w:rsid w:val="00627F54"/>
    <w:rsid w:val="0063257F"/>
    <w:rsid w:val="00632A84"/>
    <w:rsid w:val="00634671"/>
    <w:rsid w:val="00634A03"/>
    <w:rsid w:val="00636531"/>
    <w:rsid w:val="006411C3"/>
    <w:rsid w:val="0064201B"/>
    <w:rsid w:val="00643986"/>
    <w:rsid w:val="0064449A"/>
    <w:rsid w:val="00645786"/>
    <w:rsid w:val="00651147"/>
    <w:rsid w:val="00657635"/>
    <w:rsid w:val="006644A7"/>
    <w:rsid w:val="006661EB"/>
    <w:rsid w:val="00670F59"/>
    <w:rsid w:val="006719D3"/>
    <w:rsid w:val="0067210A"/>
    <w:rsid w:val="0067227B"/>
    <w:rsid w:val="0067629C"/>
    <w:rsid w:val="00680D9F"/>
    <w:rsid w:val="00681011"/>
    <w:rsid w:val="00681B80"/>
    <w:rsid w:val="006830FA"/>
    <w:rsid w:val="00683454"/>
    <w:rsid w:val="00685831"/>
    <w:rsid w:val="00687DAC"/>
    <w:rsid w:val="006A03A0"/>
    <w:rsid w:val="006A341C"/>
    <w:rsid w:val="006A3C80"/>
    <w:rsid w:val="006A4824"/>
    <w:rsid w:val="006A6E00"/>
    <w:rsid w:val="006B1A4F"/>
    <w:rsid w:val="006B2BEE"/>
    <w:rsid w:val="006B7D70"/>
    <w:rsid w:val="006C3A1A"/>
    <w:rsid w:val="006C50F5"/>
    <w:rsid w:val="006C5F59"/>
    <w:rsid w:val="006C6BA1"/>
    <w:rsid w:val="006D0BAA"/>
    <w:rsid w:val="006D1712"/>
    <w:rsid w:val="006D1734"/>
    <w:rsid w:val="006D2BD7"/>
    <w:rsid w:val="006D4983"/>
    <w:rsid w:val="006D6236"/>
    <w:rsid w:val="006D634D"/>
    <w:rsid w:val="006D749A"/>
    <w:rsid w:val="006E2039"/>
    <w:rsid w:val="006E2ACD"/>
    <w:rsid w:val="006F39A0"/>
    <w:rsid w:val="006F3DC3"/>
    <w:rsid w:val="006F4124"/>
    <w:rsid w:val="006F4F8A"/>
    <w:rsid w:val="006F72B3"/>
    <w:rsid w:val="00700422"/>
    <w:rsid w:val="00701596"/>
    <w:rsid w:val="007030D3"/>
    <w:rsid w:val="007046C9"/>
    <w:rsid w:val="00707B3D"/>
    <w:rsid w:val="0071138E"/>
    <w:rsid w:val="007122D3"/>
    <w:rsid w:val="00712934"/>
    <w:rsid w:val="0071380B"/>
    <w:rsid w:val="007142B1"/>
    <w:rsid w:val="00714BB2"/>
    <w:rsid w:val="007178E6"/>
    <w:rsid w:val="00721253"/>
    <w:rsid w:val="00726135"/>
    <w:rsid w:val="00726231"/>
    <w:rsid w:val="00727485"/>
    <w:rsid w:val="00727494"/>
    <w:rsid w:val="00730ED5"/>
    <w:rsid w:val="00732FEF"/>
    <w:rsid w:val="007332E2"/>
    <w:rsid w:val="00736D78"/>
    <w:rsid w:val="0074140A"/>
    <w:rsid w:val="00741E45"/>
    <w:rsid w:val="00742E63"/>
    <w:rsid w:val="00746A76"/>
    <w:rsid w:val="00751D36"/>
    <w:rsid w:val="007615D3"/>
    <w:rsid w:val="00763508"/>
    <w:rsid w:val="00766FCB"/>
    <w:rsid w:val="00770D05"/>
    <w:rsid w:val="00771304"/>
    <w:rsid w:val="0077421C"/>
    <w:rsid w:val="007744DC"/>
    <w:rsid w:val="007774FA"/>
    <w:rsid w:val="00780CE9"/>
    <w:rsid w:val="00784154"/>
    <w:rsid w:val="00785F5D"/>
    <w:rsid w:val="00792578"/>
    <w:rsid w:val="00796B2A"/>
    <w:rsid w:val="007979C5"/>
    <w:rsid w:val="007A0367"/>
    <w:rsid w:val="007A0C85"/>
    <w:rsid w:val="007A1FFC"/>
    <w:rsid w:val="007A2A73"/>
    <w:rsid w:val="007A4CD8"/>
    <w:rsid w:val="007A6208"/>
    <w:rsid w:val="007A6FF8"/>
    <w:rsid w:val="007A76C3"/>
    <w:rsid w:val="007B083F"/>
    <w:rsid w:val="007C01E8"/>
    <w:rsid w:val="007C558C"/>
    <w:rsid w:val="007C7AB2"/>
    <w:rsid w:val="007D252E"/>
    <w:rsid w:val="007D2EBF"/>
    <w:rsid w:val="007D5AC1"/>
    <w:rsid w:val="007E12D2"/>
    <w:rsid w:val="007E1A29"/>
    <w:rsid w:val="007E75E5"/>
    <w:rsid w:val="007F1121"/>
    <w:rsid w:val="007F1DD4"/>
    <w:rsid w:val="007F2E6F"/>
    <w:rsid w:val="007F3D90"/>
    <w:rsid w:val="007F3EAE"/>
    <w:rsid w:val="007F63C8"/>
    <w:rsid w:val="007F67A3"/>
    <w:rsid w:val="007F6A92"/>
    <w:rsid w:val="007F6D64"/>
    <w:rsid w:val="007F7028"/>
    <w:rsid w:val="007F7D71"/>
    <w:rsid w:val="008056FE"/>
    <w:rsid w:val="00814DB7"/>
    <w:rsid w:val="008164F4"/>
    <w:rsid w:val="00816BB8"/>
    <w:rsid w:val="00821714"/>
    <w:rsid w:val="00826802"/>
    <w:rsid w:val="0082726D"/>
    <w:rsid w:val="00833252"/>
    <w:rsid w:val="00833B89"/>
    <w:rsid w:val="0083609C"/>
    <w:rsid w:val="0084145B"/>
    <w:rsid w:val="008419CD"/>
    <w:rsid w:val="00842D6D"/>
    <w:rsid w:val="00850404"/>
    <w:rsid w:val="0085415C"/>
    <w:rsid w:val="00854AA4"/>
    <w:rsid w:val="00855991"/>
    <w:rsid w:val="00856924"/>
    <w:rsid w:val="008615AC"/>
    <w:rsid w:val="008647F7"/>
    <w:rsid w:val="0086494D"/>
    <w:rsid w:val="00864EB0"/>
    <w:rsid w:val="00866E74"/>
    <w:rsid w:val="00875AFD"/>
    <w:rsid w:val="00876502"/>
    <w:rsid w:val="00877326"/>
    <w:rsid w:val="00877C6A"/>
    <w:rsid w:val="0088472D"/>
    <w:rsid w:val="00886BBF"/>
    <w:rsid w:val="00887B3D"/>
    <w:rsid w:val="00897195"/>
    <w:rsid w:val="008A05B8"/>
    <w:rsid w:val="008A09B5"/>
    <w:rsid w:val="008A2944"/>
    <w:rsid w:val="008A2E47"/>
    <w:rsid w:val="008A400B"/>
    <w:rsid w:val="008A59B8"/>
    <w:rsid w:val="008A77D1"/>
    <w:rsid w:val="008B675B"/>
    <w:rsid w:val="008B7018"/>
    <w:rsid w:val="008B75CE"/>
    <w:rsid w:val="008B7DA4"/>
    <w:rsid w:val="008C115A"/>
    <w:rsid w:val="008D1559"/>
    <w:rsid w:val="008D272A"/>
    <w:rsid w:val="008D3ECA"/>
    <w:rsid w:val="008D46D5"/>
    <w:rsid w:val="008D60F5"/>
    <w:rsid w:val="008D6BCD"/>
    <w:rsid w:val="008D7D9E"/>
    <w:rsid w:val="008E15B5"/>
    <w:rsid w:val="008E2344"/>
    <w:rsid w:val="008E6571"/>
    <w:rsid w:val="008E768E"/>
    <w:rsid w:val="008F1BF3"/>
    <w:rsid w:val="008F6FE8"/>
    <w:rsid w:val="008F6FEF"/>
    <w:rsid w:val="008F72DD"/>
    <w:rsid w:val="0090024C"/>
    <w:rsid w:val="00902037"/>
    <w:rsid w:val="00903DFD"/>
    <w:rsid w:val="009054A9"/>
    <w:rsid w:val="00905585"/>
    <w:rsid w:val="009116EC"/>
    <w:rsid w:val="00912469"/>
    <w:rsid w:val="00915E9D"/>
    <w:rsid w:val="00917EEA"/>
    <w:rsid w:val="009211E0"/>
    <w:rsid w:val="00921A04"/>
    <w:rsid w:val="0092770D"/>
    <w:rsid w:val="00930DFB"/>
    <w:rsid w:val="00933B63"/>
    <w:rsid w:val="00933CD6"/>
    <w:rsid w:val="009367F7"/>
    <w:rsid w:val="00940158"/>
    <w:rsid w:val="009433C8"/>
    <w:rsid w:val="00943815"/>
    <w:rsid w:val="00943A73"/>
    <w:rsid w:val="00950101"/>
    <w:rsid w:val="00950726"/>
    <w:rsid w:val="00950EFF"/>
    <w:rsid w:val="009516CC"/>
    <w:rsid w:val="00953649"/>
    <w:rsid w:val="00953D79"/>
    <w:rsid w:val="009559DE"/>
    <w:rsid w:val="00956688"/>
    <w:rsid w:val="0096098B"/>
    <w:rsid w:val="009616C5"/>
    <w:rsid w:val="009676A9"/>
    <w:rsid w:val="009708DE"/>
    <w:rsid w:val="00972C29"/>
    <w:rsid w:val="00973811"/>
    <w:rsid w:val="009829B0"/>
    <w:rsid w:val="00982C82"/>
    <w:rsid w:val="00982DA8"/>
    <w:rsid w:val="00990280"/>
    <w:rsid w:val="00995EB6"/>
    <w:rsid w:val="00996D76"/>
    <w:rsid w:val="00996EB3"/>
    <w:rsid w:val="009A4FC2"/>
    <w:rsid w:val="009A5BD2"/>
    <w:rsid w:val="009A7D59"/>
    <w:rsid w:val="009B1C21"/>
    <w:rsid w:val="009B6263"/>
    <w:rsid w:val="009D0A7C"/>
    <w:rsid w:val="009D3E61"/>
    <w:rsid w:val="009D42CD"/>
    <w:rsid w:val="009D5454"/>
    <w:rsid w:val="009D5A2F"/>
    <w:rsid w:val="009E291D"/>
    <w:rsid w:val="009E29F3"/>
    <w:rsid w:val="009F157B"/>
    <w:rsid w:val="009F1A6A"/>
    <w:rsid w:val="009F35D1"/>
    <w:rsid w:val="009F52B2"/>
    <w:rsid w:val="009F659A"/>
    <w:rsid w:val="009F7C33"/>
    <w:rsid w:val="00A01EC5"/>
    <w:rsid w:val="00A02836"/>
    <w:rsid w:val="00A0710E"/>
    <w:rsid w:val="00A139AA"/>
    <w:rsid w:val="00A15B9C"/>
    <w:rsid w:val="00A16EDF"/>
    <w:rsid w:val="00A17B2F"/>
    <w:rsid w:val="00A238EC"/>
    <w:rsid w:val="00A243A5"/>
    <w:rsid w:val="00A25DC0"/>
    <w:rsid w:val="00A33537"/>
    <w:rsid w:val="00A42AE7"/>
    <w:rsid w:val="00A43DE3"/>
    <w:rsid w:val="00A50755"/>
    <w:rsid w:val="00A50784"/>
    <w:rsid w:val="00A53E53"/>
    <w:rsid w:val="00A579F7"/>
    <w:rsid w:val="00A612EF"/>
    <w:rsid w:val="00A6563F"/>
    <w:rsid w:val="00A65D08"/>
    <w:rsid w:val="00A66F6A"/>
    <w:rsid w:val="00A72CAF"/>
    <w:rsid w:val="00A76790"/>
    <w:rsid w:val="00A77EA9"/>
    <w:rsid w:val="00A83F89"/>
    <w:rsid w:val="00A8709F"/>
    <w:rsid w:val="00A877E7"/>
    <w:rsid w:val="00A90A13"/>
    <w:rsid w:val="00A92D0F"/>
    <w:rsid w:val="00A944C2"/>
    <w:rsid w:val="00A97D9C"/>
    <w:rsid w:val="00AA3B81"/>
    <w:rsid w:val="00AA3EC4"/>
    <w:rsid w:val="00AA54A9"/>
    <w:rsid w:val="00AB3BA5"/>
    <w:rsid w:val="00AB40C5"/>
    <w:rsid w:val="00AB6479"/>
    <w:rsid w:val="00AB76E6"/>
    <w:rsid w:val="00AC67A6"/>
    <w:rsid w:val="00AD0FC6"/>
    <w:rsid w:val="00AD1C06"/>
    <w:rsid w:val="00AD25BE"/>
    <w:rsid w:val="00AD2F95"/>
    <w:rsid w:val="00AD697C"/>
    <w:rsid w:val="00AE0DCA"/>
    <w:rsid w:val="00AE192D"/>
    <w:rsid w:val="00AE3936"/>
    <w:rsid w:val="00AF17BC"/>
    <w:rsid w:val="00AF1823"/>
    <w:rsid w:val="00AF35C2"/>
    <w:rsid w:val="00AF647E"/>
    <w:rsid w:val="00B00E17"/>
    <w:rsid w:val="00B019C7"/>
    <w:rsid w:val="00B02505"/>
    <w:rsid w:val="00B04B69"/>
    <w:rsid w:val="00B106E6"/>
    <w:rsid w:val="00B115D0"/>
    <w:rsid w:val="00B127FF"/>
    <w:rsid w:val="00B145E7"/>
    <w:rsid w:val="00B14FE8"/>
    <w:rsid w:val="00B22C7E"/>
    <w:rsid w:val="00B23903"/>
    <w:rsid w:val="00B24608"/>
    <w:rsid w:val="00B27961"/>
    <w:rsid w:val="00B3003F"/>
    <w:rsid w:val="00B32639"/>
    <w:rsid w:val="00B3362A"/>
    <w:rsid w:val="00B35575"/>
    <w:rsid w:val="00B35C1F"/>
    <w:rsid w:val="00B370DC"/>
    <w:rsid w:val="00B434C8"/>
    <w:rsid w:val="00B44DE0"/>
    <w:rsid w:val="00B461D2"/>
    <w:rsid w:val="00B541E6"/>
    <w:rsid w:val="00B5618B"/>
    <w:rsid w:val="00B61B60"/>
    <w:rsid w:val="00B63559"/>
    <w:rsid w:val="00B66659"/>
    <w:rsid w:val="00B7041A"/>
    <w:rsid w:val="00B71419"/>
    <w:rsid w:val="00B75946"/>
    <w:rsid w:val="00B75B0E"/>
    <w:rsid w:val="00B87034"/>
    <w:rsid w:val="00BA38BE"/>
    <w:rsid w:val="00BA3ECC"/>
    <w:rsid w:val="00BA66BD"/>
    <w:rsid w:val="00BC0688"/>
    <w:rsid w:val="00BC13D0"/>
    <w:rsid w:val="00BC563A"/>
    <w:rsid w:val="00BC6181"/>
    <w:rsid w:val="00BD0655"/>
    <w:rsid w:val="00BD184B"/>
    <w:rsid w:val="00BD3058"/>
    <w:rsid w:val="00BD53CB"/>
    <w:rsid w:val="00BD73E0"/>
    <w:rsid w:val="00BD7656"/>
    <w:rsid w:val="00BE2066"/>
    <w:rsid w:val="00BE2465"/>
    <w:rsid w:val="00BE3B42"/>
    <w:rsid w:val="00BE5A16"/>
    <w:rsid w:val="00BE5ACA"/>
    <w:rsid w:val="00BF0ED2"/>
    <w:rsid w:val="00BF1C63"/>
    <w:rsid w:val="00BF29DB"/>
    <w:rsid w:val="00BF2A6D"/>
    <w:rsid w:val="00BF7644"/>
    <w:rsid w:val="00C036A4"/>
    <w:rsid w:val="00C037FB"/>
    <w:rsid w:val="00C07B8F"/>
    <w:rsid w:val="00C07E68"/>
    <w:rsid w:val="00C103CE"/>
    <w:rsid w:val="00C1140D"/>
    <w:rsid w:val="00C11D28"/>
    <w:rsid w:val="00C1291C"/>
    <w:rsid w:val="00C12EA7"/>
    <w:rsid w:val="00C142A3"/>
    <w:rsid w:val="00C200C3"/>
    <w:rsid w:val="00C256F8"/>
    <w:rsid w:val="00C3004C"/>
    <w:rsid w:val="00C31416"/>
    <w:rsid w:val="00C31815"/>
    <w:rsid w:val="00C34635"/>
    <w:rsid w:val="00C36F67"/>
    <w:rsid w:val="00C41440"/>
    <w:rsid w:val="00C43F1A"/>
    <w:rsid w:val="00C47752"/>
    <w:rsid w:val="00C5184C"/>
    <w:rsid w:val="00C526B4"/>
    <w:rsid w:val="00C5667E"/>
    <w:rsid w:val="00C61556"/>
    <w:rsid w:val="00C62E94"/>
    <w:rsid w:val="00C63207"/>
    <w:rsid w:val="00C65D68"/>
    <w:rsid w:val="00C660B1"/>
    <w:rsid w:val="00C67571"/>
    <w:rsid w:val="00C73676"/>
    <w:rsid w:val="00C75B77"/>
    <w:rsid w:val="00C76B2F"/>
    <w:rsid w:val="00C804A4"/>
    <w:rsid w:val="00C83865"/>
    <w:rsid w:val="00C85AB7"/>
    <w:rsid w:val="00C85E17"/>
    <w:rsid w:val="00C873BD"/>
    <w:rsid w:val="00C9027C"/>
    <w:rsid w:val="00C90662"/>
    <w:rsid w:val="00C955C4"/>
    <w:rsid w:val="00CA167D"/>
    <w:rsid w:val="00CA34CC"/>
    <w:rsid w:val="00CA5103"/>
    <w:rsid w:val="00CB016B"/>
    <w:rsid w:val="00CB2A5F"/>
    <w:rsid w:val="00CB59E0"/>
    <w:rsid w:val="00CB608F"/>
    <w:rsid w:val="00CB6E3F"/>
    <w:rsid w:val="00CC328B"/>
    <w:rsid w:val="00CC3F29"/>
    <w:rsid w:val="00CC6399"/>
    <w:rsid w:val="00CC6DA1"/>
    <w:rsid w:val="00CD09EC"/>
    <w:rsid w:val="00CD1F9B"/>
    <w:rsid w:val="00CD2E9E"/>
    <w:rsid w:val="00CD721A"/>
    <w:rsid w:val="00CE512C"/>
    <w:rsid w:val="00CF2F19"/>
    <w:rsid w:val="00CF6905"/>
    <w:rsid w:val="00CF6E37"/>
    <w:rsid w:val="00D009CD"/>
    <w:rsid w:val="00D0278F"/>
    <w:rsid w:val="00D0585E"/>
    <w:rsid w:val="00D11260"/>
    <w:rsid w:val="00D16B70"/>
    <w:rsid w:val="00D17255"/>
    <w:rsid w:val="00D36777"/>
    <w:rsid w:val="00D40D55"/>
    <w:rsid w:val="00D44A1A"/>
    <w:rsid w:val="00D55A60"/>
    <w:rsid w:val="00D62387"/>
    <w:rsid w:val="00D6314C"/>
    <w:rsid w:val="00D712E5"/>
    <w:rsid w:val="00D75C90"/>
    <w:rsid w:val="00D80121"/>
    <w:rsid w:val="00D832D5"/>
    <w:rsid w:val="00D84A4D"/>
    <w:rsid w:val="00D85CB9"/>
    <w:rsid w:val="00D87EE2"/>
    <w:rsid w:val="00D90D87"/>
    <w:rsid w:val="00D96CBC"/>
    <w:rsid w:val="00DC1C96"/>
    <w:rsid w:val="00DC5B66"/>
    <w:rsid w:val="00DD2F7E"/>
    <w:rsid w:val="00DD5B51"/>
    <w:rsid w:val="00DD7530"/>
    <w:rsid w:val="00DE0D9F"/>
    <w:rsid w:val="00DE2D7E"/>
    <w:rsid w:val="00DE3A3B"/>
    <w:rsid w:val="00DE66D7"/>
    <w:rsid w:val="00DF1019"/>
    <w:rsid w:val="00DF1749"/>
    <w:rsid w:val="00DF2C25"/>
    <w:rsid w:val="00DF4533"/>
    <w:rsid w:val="00DF5565"/>
    <w:rsid w:val="00DF7D24"/>
    <w:rsid w:val="00E013B3"/>
    <w:rsid w:val="00E0587E"/>
    <w:rsid w:val="00E06C48"/>
    <w:rsid w:val="00E13447"/>
    <w:rsid w:val="00E157C5"/>
    <w:rsid w:val="00E2520F"/>
    <w:rsid w:val="00E40CFD"/>
    <w:rsid w:val="00E40D7C"/>
    <w:rsid w:val="00E43E3E"/>
    <w:rsid w:val="00E45877"/>
    <w:rsid w:val="00E54375"/>
    <w:rsid w:val="00E548B6"/>
    <w:rsid w:val="00E54BDD"/>
    <w:rsid w:val="00E566C8"/>
    <w:rsid w:val="00E573CF"/>
    <w:rsid w:val="00E6032E"/>
    <w:rsid w:val="00E6142F"/>
    <w:rsid w:val="00E61997"/>
    <w:rsid w:val="00E66D46"/>
    <w:rsid w:val="00E701A1"/>
    <w:rsid w:val="00E709D8"/>
    <w:rsid w:val="00E718BF"/>
    <w:rsid w:val="00E75068"/>
    <w:rsid w:val="00E7706F"/>
    <w:rsid w:val="00E83614"/>
    <w:rsid w:val="00E83D96"/>
    <w:rsid w:val="00E8695B"/>
    <w:rsid w:val="00E90BD4"/>
    <w:rsid w:val="00E914AC"/>
    <w:rsid w:val="00E95E20"/>
    <w:rsid w:val="00EA0255"/>
    <w:rsid w:val="00EA5648"/>
    <w:rsid w:val="00EA59CC"/>
    <w:rsid w:val="00EA6FC1"/>
    <w:rsid w:val="00EB082E"/>
    <w:rsid w:val="00EB1C51"/>
    <w:rsid w:val="00EB29D2"/>
    <w:rsid w:val="00EB4A6A"/>
    <w:rsid w:val="00EC2F0C"/>
    <w:rsid w:val="00EC3C14"/>
    <w:rsid w:val="00ED0859"/>
    <w:rsid w:val="00ED2A99"/>
    <w:rsid w:val="00ED3712"/>
    <w:rsid w:val="00ED3889"/>
    <w:rsid w:val="00ED4467"/>
    <w:rsid w:val="00ED791D"/>
    <w:rsid w:val="00EE0527"/>
    <w:rsid w:val="00EE1C26"/>
    <w:rsid w:val="00EE3120"/>
    <w:rsid w:val="00EE3BCC"/>
    <w:rsid w:val="00EF0448"/>
    <w:rsid w:val="00EF0EB7"/>
    <w:rsid w:val="00EF0FE0"/>
    <w:rsid w:val="00EF10A6"/>
    <w:rsid w:val="00EF2B7E"/>
    <w:rsid w:val="00EF40F4"/>
    <w:rsid w:val="00EF5459"/>
    <w:rsid w:val="00F0210B"/>
    <w:rsid w:val="00F030B0"/>
    <w:rsid w:val="00F03E6A"/>
    <w:rsid w:val="00F0413E"/>
    <w:rsid w:val="00F11E13"/>
    <w:rsid w:val="00F1265C"/>
    <w:rsid w:val="00F13795"/>
    <w:rsid w:val="00F14B5C"/>
    <w:rsid w:val="00F1734F"/>
    <w:rsid w:val="00F2091A"/>
    <w:rsid w:val="00F21FE9"/>
    <w:rsid w:val="00F24506"/>
    <w:rsid w:val="00F26644"/>
    <w:rsid w:val="00F27F18"/>
    <w:rsid w:val="00F4067C"/>
    <w:rsid w:val="00F434A5"/>
    <w:rsid w:val="00F50514"/>
    <w:rsid w:val="00F505AC"/>
    <w:rsid w:val="00F535DF"/>
    <w:rsid w:val="00F5698D"/>
    <w:rsid w:val="00F61B71"/>
    <w:rsid w:val="00F629A1"/>
    <w:rsid w:val="00F64AAA"/>
    <w:rsid w:val="00F67A3A"/>
    <w:rsid w:val="00F728E7"/>
    <w:rsid w:val="00F74242"/>
    <w:rsid w:val="00F750F5"/>
    <w:rsid w:val="00F75A45"/>
    <w:rsid w:val="00F809F2"/>
    <w:rsid w:val="00F80A3E"/>
    <w:rsid w:val="00F80FA4"/>
    <w:rsid w:val="00F82331"/>
    <w:rsid w:val="00F9651E"/>
    <w:rsid w:val="00F97EA9"/>
    <w:rsid w:val="00FA1E53"/>
    <w:rsid w:val="00FB0DD9"/>
    <w:rsid w:val="00FB1314"/>
    <w:rsid w:val="00FB3D9F"/>
    <w:rsid w:val="00FB4073"/>
    <w:rsid w:val="00FB4137"/>
    <w:rsid w:val="00FB468D"/>
    <w:rsid w:val="00FC5D57"/>
    <w:rsid w:val="00FC6FD8"/>
    <w:rsid w:val="00FC7D30"/>
    <w:rsid w:val="00FD127F"/>
    <w:rsid w:val="00FE1036"/>
    <w:rsid w:val="00FE18F7"/>
    <w:rsid w:val="00FE205E"/>
    <w:rsid w:val="00FE2E05"/>
    <w:rsid w:val="00FE42D5"/>
    <w:rsid w:val="00FE7F43"/>
    <w:rsid w:val="00FF0F40"/>
    <w:rsid w:val="00FF10A8"/>
    <w:rsid w:val="00FF31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9194A7"/>
  <w15:docId w15:val="{31986FBE-6929-476E-82A5-CC4AA85D1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03F"/>
    <w:pPr>
      <w:widowControl w:val="0"/>
    </w:pPr>
    <w:rPr>
      <w:rFonts w:ascii="Times New Roman" w:eastAsia="Times New Roman" w:hAnsi="Times New Roman"/>
      <w:sz w:val="24"/>
      <w:szCs w:val="20"/>
    </w:rPr>
  </w:style>
  <w:style w:type="paragraph" w:styleId="Heading1">
    <w:name w:val="heading 1"/>
    <w:basedOn w:val="Normal"/>
    <w:next w:val="Normal"/>
    <w:link w:val="Heading1Char"/>
    <w:uiPriority w:val="99"/>
    <w:qFormat/>
    <w:rsid w:val="0003341F"/>
    <w:pPr>
      <w:keepNext/>
      <w:spacing w:before="240" w:after="60"/>
      <w:outlineLvl w:val="0"/>
    </w:pPr>
    <w:rPr>
      <w:rFonts w:ascii="Arial" w:eastAsia="Calibri" w:hAnsi="Arial"/>
      <w:b/>
      <w:bCs/>
      <w:kern w:val="32"/>
      <w:sz w:val="32"/>
      <w:szCs w:val="32"/>
    </w:rPr>
  </w:style>
  <w:style w:type="paragraph" w:styleId="Heading3">
    <w:name w:val="heading 3"/>
    <w:basedOn w:val="Normal"/>
    <w:link w:val="Heading3Char"/>
    <w:uiPriority w:val="99"/>
    <w:qFormat/>
    <w:rsid w:val="000E235F"/>
    <w:pPr>
      <w:widowControl/>
      <w:spacing w:before="100" w:beforeAutospacing="1" w:after="100" w:afterAutospacing="1"/>
      <w:outlineLvl w:val="2"/>
    </w:pPr>
    <w:rPr>
      <w:rFonts w:eastAsia="Calibr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3341F"/>
    <w:rPr>
      <w:rFonts w:ascii="Arial" w:hAnsi="Arial" w:cs="Times New Roman"/>
      <w:b/>
      <w:snapToGrid w:val="0"/>
      <w:kern w:val="32"/>
      <w:sz w:val="32"/>
    </w:rPr>
  </w:style>
  <w:style w:type="character" w:customStyle="1" w:styleId="Heading3Char">
    <w:name w:val="Heading 3 Char"/>
    <w:basedOn w:val="DefaultParagraphFont"/>
    <w:link w:val="Heading3"/>
    <w:uiPriority w:val="99"/>
    <w:locked/>
    <w:rsid w:val="000E235F"/>
    <w:rPr>
      <w:rFonts w:ascii="Times New Roman" w:hAnsi="Times New Roman" w:cs="Times New Roman"/>
      <w:b/>
      <w:sz w:val="27"/>
    </w:rPr>
  </w:style>
  <w:style w:type="table" w:styleId="TableGrid">
    <w:name w:val="Table Grid"/>
    <w:basedOn w:val="TableNormal"/>
    <w:uiPriority w:val="99"/>
    <w:rsid w:val="00B3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B3003F"/>
    <w:rPr>
      <w:rFonts w:cs="Times New Roman"/>
      <w:color w:val="3366CC"/>
      <w:u w:val="single"/>
    </w:rPr>
  </w:style>
  <w:style w:type="character" w:styleId="FollowedHyperlink">
    <w:name w:val="FollowedHyperlink"/>
    <w:basedOn w:val="DefaultParagraphFont"/>
    <w:uiPriority w:val="99"/>
    <w:semiHidden/>
    <w:rsid w:val="002D7B85"/>
    <w:rPr>
      <w:rFonts w:cs="Times New Roman"/>
      <w:color w:val="800080"/>
      <w:u w:val="single"/>
    </w:rPr>
  </w:style>
  <w:style w:type="paragraph" w:styleId="BalloonText">
    <w:name w:val="Balloon Text"/>
    <w:basedOn w:val="Normal"/>
    <w:link w:val="BalloonTextChar"/>
    <w:uiPriority w:val="99"/>
    <w:semiHidden/>
    <w:rsid w:val="005E1C9D"/>
    <w:rPr>
      <w:rFonts w:ascii="Tahoma" w:eastAsia="Calibri" w:hAnsi="Tahoma"/>
      <w:sz w:val="16"/>
      <w:szCs w:val="16"/>
    </w:rPr>
  </w:style>
  <w:style w:type="character" w:customStyle="1" w:styleId="BalloonTextChar">
    <w:name w:val="Balloon Text Char"/>
    <w:basedOn w:val="DefaultParagraphFont"/>
    <w:link w:val="BalloonText"/>
    <w:uiPriority w:val="99"/>
    <w:semiHidden/>
    <w:locked/>
    <w:rsid w:val="005E1C9D"/>
    <w:rPr>
      <w:rFonts w:ascii="Tahoma" w:hAnsi="Tahoma" w:cs="Times New Roman"/>
      <w:snapToGrid w:val="0"/>
      <w:sz w:val="16"/>
    </w:rPr>
  </w:style>
  <w:style w:type="paragraph" w:styleId="BodyText">
    <w:name w:val="Body Text"/>
    <w:basedOn w:val="Normal"/>
    <w:link w:val="BodyTextChar"/>
    <w:uiPriority w:val="99"/>
    <w:rsid w:val="000E235F"/>
    <w:pPr>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spacing w:line="244" w:lineRule="exact"/>
    </w:pPr>
    <w:rPr>
      <w:rFonts w:eastAsia="Calibri"/>
      <w:b/>
      <w:sz w:val="20"/>
    </w:rPr>
  </w:style>
  <w:style w:type="character" w:customStyle="1" w:styleId="BodyTextChar">
    <w:name w:val="Body Text Char"/>
    <w:basedOn w:val="DefaultParagraphFont"/>
    <w:link w:val="BodyText"/>
    <w:uiPriority w:val="99"/>
    <w:locked/>
    <w:rsid w:val="000E235F"/>
    <w:rPr>
      <w:rFonts w:ascii="Times New Roman" w:hAnsi="Times New Roman" w:cs="Times New Roman"/>
      <w:b/>
      <w:snapToGrid w:val="0"/>
      <w:sz w:val="20"/>
    </w:rPr>
  </w:style>
  <w:style w:type="paragraph" w:customStyle="1" w:styleId="Level1">
    <w:name w:val="Level 1"/>
    <w:basedOn w:val="Normal"/>
    <w:uiPriority w:val="99"/>
    <w:rsid w:val="000E235F"/>
    <w:pPr>
      <w:numPr>
        <w:numId w:val="9"/>
      </w:numPr>
      <w:ind w:left="720" w:hanging="720"/>
      <w:outlineLvl w:val="0"/>
    </w:pPr>
    <w:rPr>
      <w:rFonts w:ascii="Courier" w:hAnsi="Courier"/>
    </w:rPr>
  </w:style>
  <w:style w:type="paragraph" w:styleId="Header">
    <w:name w:val="header"/>
    <w:aliases w:val="rnps-Header,header1"/>
    <w:basedOn w:val="Normal"/>
    <w:link w:val="HeaderChar"/>
    <w:uiPriority w:val="99"/>
    <w:rsid w:val="000E235F"/>
    <w:pPr>
      <w:tabs>
        <w:tab w:val="center" w:pos="4320"/>
        <w:tab w:val="right" w:pos="8640"/>
      </w:tabs>
    </w:pPr>
    <w:rPr>
      <w:rFonts w:eastAsia="Calibri"/>
      <w:sz w:val="20"/>
    </w:rPr>
  </w:style>
  <w:style w:type="character" w:customStyle="1" w:styleId="HeaderChar">
    <w:name w:val="Header Char"/>
    <w:aliases w:val="rnps-Header Char,header1 Char"/>
    <w:basedOn w:val="DefaultParagraphFont"/>
    <w:link w:val="Header"/>
    <w:uiPriority w:val="99"/>
    <w:locked/>
    <w:rsid w:val="000E235F"/>
    <w:rPr>
      <w:rFonts w:ascii="Times New Roman" w:hAnsi="Times New Roman" w:cs="Times New Roman"/>
      <w:snapToGrid w:val="0"/>
      <w:sz w:val="20"/>
    </w:rPr>
  </w:style>
  <w:style w:type="paragraph" w:customStyle="1" w:styleId="pbody">
    <w:name w:val="pbody"/>
    <w:basedOn w:val="Normal"/>
    <w:uiPriority w:val="99"/>
    <w:rsid w:val="000E235F"/>
    <w:pPr>
      <w:widowControl/>
      <w:spacing w:line="288" w:lineRule="auto"/>
      <w:ind w:firstLine="240"/>
    </w:pPr>
    <w:rPr>
      <w:rFonts w:ascii="Arial" w:hAnsi="Arial" w:cs="Arial"/>
      <w:color w:val="000000"/>
      <w:sz w:val="20"/>
    </w:rPr>
  </w:style>
  <w:style w:type="paragraph" w:customStyle="1" w:styleId="c4">
    <w:name w:val="c4"/>
    <w:basedOn w:val="Normal"/>
    <w:uiPriority w:val="99"/>
    <w:rsid w:val="000E235F"/>
    <w:pPr>
      <w:autoSpaceDE w:val="0"/>
      <w:autoSpaceDN w:val="0"/>
      <w:adjustRightInd w:val="0"/>
      <w:jc w:val="center"/>
    </w:pPr>
    <w:rPr>
      <w:szCs w:val="24"/>
    </w:rPr>
  </w:style>
  <w:style w:type="paragraph" w:styleId="ListParagraph">
    <w:name w:val="List Paragraph"/>
    <w:basedOn w:val="Normal"/>
    <w:uiPriority w:val="99"/>
    <w:qFormat/>
    <w:rsid w:val="0029581E"/>
    <w:pPr>
      <w:ind w:left="720"/>
      <w:contextualSpacing/>
    </w:pPr>
  </w:style>
  <w:style w:type="character" w:styleId="CommentReference">
    <w:name w:val="annotation reference"/>
    <w:basedOn w:val="DefaultParagraphFont"/>
    <w:uiPriority w:val="99"/>
    <w:semiHidden/>
    <w:rsid w:val="00122403"/>
    <w:rPr>
      <w:rFonts w:cs="Times New Roman"/>
      <w:sz w:val="16"/>
    </w:rPr>
  </w:style>
  <w:style w:type="paragraph" w:styleId="CommentText">
    <w:name w:val="annotation text"/>
    <w:basedOn w:val="Normal"/>
    <w:link w:val="CommentTextChar"/>
    <w:uiPriority w:val="99"/>
    <w:semiHidden/>
    <w:rsid w:val="00122403"/>
    <w:rPr>
      <w:rFonts w:eastAsia="Calibri"/>
      <w:sz w:val="20"/>
    </w:rPr>
  </w:style>
  <w:style w:type="character" w:customStyle="1" w:styleId="CommentTextChar">
    <w:name w:val="Comment Text Char"/>
    <w:basedOn w:val="DefaultParagraphFont"/>
    <w:link w:val="CommentText"/>
    <w:uiPriority w:val="99"/>
    <w:semiHidden/>
    <w:locked/>
    <w:rsid w:val="00122403"/>
    <w:rPr>
      <w:rFonts w:ascii="Times New Roman" w:hAnsi="Times New Roman" w:cs="Times New Roman"/>
      <w:snapToGrid w:val="0"/>
      <w:sz w:val="20"/>
    </w:rPr>
  </w:style>
  <w:style w:type="paragraph" w:styleId="CommentSubject">
    <w:name w:val="annotation subject"/>
    <w:basedOn w:val="CommentText"/>
    <w:next w:val="CommentText"/>
    <w:link w:val="CommentSubjectChar"/>
    <w:uiPriority w:val="99"/>
    <w:semiHidden/>
    <w:rsid w:val="00122403"/>
    <w:rPr>
      <w:b/>
      <w:bCs/>
    </w:rPr>
  </w:style>
  <w:style w:type="character" w:customStyle="1" w:styleId="CommentSubjectChar">
    <w:name w:val="Comment Subject Char"/>
    <w:basedOn w:val="CommentTextChar"/>
    <w:link w:val="CommentSubject"/>
    <w:uiPriority w:val="99"/>
    <w:semiHidden/>
    <w:locked/>
    <w:rsid w:val="00122403"/>
    <w:rPr>
      <w:rFonts w:ascii="Times New Roman" w:hAnsi="Times New Roman" w:cs="Times New Roman"/>
      <w:b/>
      <w:snapToGrid w:val="0"/>
      <w:sz w:val="20"/>
    </w:rPr>
  </w:style>
  <w:style w:type="paragraph" w:customStyle="1" w:styleId="a">
    <w:name w:val="_"/>
    <w:basedOn w:val="Normal"/>
    <w:uiPriority w:val="99"/>
    <w:rsid w:val="007979C5"/>
    <w:pPr>
      <w:ind w:left="1440" w:hanging="720"/>
    </w:pPr>
  </w:style>
  <w:style w:type="paragraph" w:styleId="Footer">
    <w:name w:val="footer"/>
    <w:basedOn w:val="Normal"/>
    <w:link w:val="FooterChar"/>
    <w:uiPriority w:val="99"/>
    <w:rsid w:val="003645F7"/>
    <w:pPr>
      <w:tabs>
        <w:tab w:val="center" w:pos="4680"/>
        <w:tab w:val="right" w:pos="9360"/>
      </w:tabs>
    </w:pPr>
    <w:rPr>
      <w:rFonts w:eastAsia="Calibri"/>
      <w:sz w:val="20"/>
    </w:rPr>
  </w:style>
  <w:style w:type="character" w:customStyle="1" w:styleId="FooterChar">
    <w:name w:val="Footer Char"/>
    <w:basedOn w:val="DefaultParagraphFont"/>
    <w:link w:val="Footer"/>
    <w:uiPriority w:val="99"/>
    <w:locked/>
    <w:rsid w:val="003645F7"/>
    <w:rPr>
      <w:rFonts w:ascii="Times New Roman" w:hAnsi="Times New Roman" w:cs="Times New Roman"/>
      <w:snapToGrid w:val="0"/>
      <w:sz w:val="20"/>
    </w:rPr>
  </w:style>
  <w:style w:type="paragraph" w:styleId="Revision">
    <w:name w:val="Revision"/>
    <w:hidden/>
    <w:uiPriority w:val="99"/>
    <w:semiHidden/>
    <w:rsid w:val="005E02D5"/>
    <w:rPr>
      <w:rFonts w:ascii="Times New Roman" w:eastAsia="Times New Roman" w:hAnsi="Times New Roman"/>
      <w:sz w:val="24"/>
      <w:szCs w:val="20"/>
    </w:rPr>
  </w:style>
  <w:style w:type="paragraph" w:styleId="NoSpacing">
    <w:name w:val="No Spacing"/>
    <w:uiPriority w:val="99"/>
    <w:qFormat/>
    <w:rsid w:val="002448CB"/>
    <w:pPr>
      <w:widowControl w:val="0"/>
      <w:autoSpaceDE w:val="0"/>
      <w:autoSpaceDN w:val="0"/>
      <w:adjustRightInd w:val="0"/>
    </w:pPr>
    <w:rPr>
      <w:rFonts w:ascii="Times New Roman" w:eastAsia="SimSun" w:hAnsi="Times New Roman"/>
      <w:sz w:val="24"/>
      <w:szCs w:val="24"/>
      <w:lang w:eastAsia="zh-CN"/>
    </w:rPr>
  </w:style>
  <w:style w:type="character" w:styleId="UnresolvedMention">
    <w:name w:val="Unresolved Mention"/>
    <w:basedOn w:val="DefaultParagraphFont"/>
    <w:uiPriority w:val="99"/>
    <w:semiHidden/>
    <w:unhideWhenUsed/>
    <w:rsid w:val="008615AC"/>
    <w:rPr>
      <w:color w:val="605E5C"/>
      <w:shd w:val="clear" w:color="auto" w:fill="E1DFDD"/>
    </w:rPr>
  </w:style>
  <w:style w:type="paragraph" w:styleId="Caption">
    <w:name w:val="caption"/>
    <w:basedOn w:val="Normal"/>
    <w:next w:val="Normal"/>
    <w:unhideWhenUsed/>
    <w:qFormat/>
    <w:locked/>
    <w:rsid w:val="007A1FFC"/>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1299137">
      <w:bodyDiv w:val="1"/>
      <w:marLeft w:val="0"/>
      <w:marRight w:val="0"/>
      <w:marTop w:val="0"/>
      <w:marBottom w:val="0"/>
      <w:divBdr>
        <w:top w:val="none" w:sz="0" w:space="0" w:color="auto"/>
        <w:left w:val="none" w:sz="0" w:space="0" w:color="auto"/>
        <w:bottom w:val="none" w:sz="0" w:space="0" w:color="auto"/>
        <w:right w:val="none" w:sz="0" w:space="0" w:color="auto"/>
      </w:divBdr>
    </w:div>
    <w:div w:id="1567032697">
      <w:bodyDiv w:val="1"/>
      <w:marLeft w:val="0"/>
      <w:marRight w:val="0"/>
      <w:marTop w:val="0"/>
      <w:marBottom w:val="0"/>
      <w:divBdr>
        <w:top w:val="none" w:sz="0" w:space="0" w:color="auto"/>
        <w:left w:val="none" w:sz="0" w:space="0" w:color="auto"/>
        <w:bottom w:val="none" w:sz="0" w:space="0" w:color="auto"/>
        <w:right w:val="none" w:sz="0" w:space="0" w:color="auto"/>
      </w:divBdr>
    </w:div>
    <w:div w:id="1892575218">
      <w:bodyDiv w:val="1"/>
      <w:marLeft w:val="0"/>
      <w:marRight w:val="0"/>
      <w:marTop w:val="0"/>
      <w:marBottom w:val="0"/>
      <w:divBdr>
        <w:top w:val="none" w:sz="0" w:space="0" w:color="auto"/>
        <w:left w:val="none" w:sz="0" w:space="0" w:color="auto"/>
        <w:bottom w:val="none" w:sz="0" w:space="0" w:color="auto"/>
        <w:right w:val="none" w:sz="0" w:space="0" w:color="auto"/>
      </w:divBdr>
    </w:div>
    <w:div w:id="203071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oem.gov/environment/environmental-studies/report-specifications/esp-report-and-footprint-specifications" TargetMode="External"/><Relationship Id="rId13" Type="http://schemas.openxmlformats.org/officeDocument/2006/relationships/hyperlink" Target="https://espis.boem.gov/final%20reports/BOEM_2020-051.pdf" TargetMode="External"/><Relationship Id="rId3" Type="http://schemas.openxmlformats.org/officeDocument/2006/relationships/settings" Target="settings.xml"/><Relationship Id="rId7" Type="http://schemas.openxmlformats.org/officeDocument/2006/relationships/hyperlink" Target="http://www.boem.gov/" TargetMode="External"/><Relationship Id="rId12" Type="http://schemas.openxmlformats.org/officeDocument/2006/relationships/hyperlink" Target="https://espis.boem.gov/final%20reports/BOEM_2020-050.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oem.gov/sites/default/files/uploadedFiles/BOEM/BOEM_Newsroom/Library/Publications/2013-0205.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spis.boem.gov/final%20reports/BOEM_2018-032.pdf" TargetMode="External"/><Relationship Id="rId4" Type="http://schemas.openxmlformats.org/officeDocument/2006/relationships/webSettings" Target="webSettings.xml"/><Relationship Id="rId9" Type="http://schemas.openxmlformats.org/officeDocument/2006/relationships/hyperlink" Target="https://espis.boem.gov/Final%20Reports/BOEM_2023-056.pdf" TargetMode="External"/><Relationship Id="rId14" Type="http://schemas.openxmlformats.org/officeDocument/2006/relationships/hyperlink" Target="https://espis.boem.gov/final%20reports/BOEM_2021-06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9</Pages>
  <Words>3831</Words>
  <Characters>21838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SECTION C</vt:lpstr>
    </vt:vector>
  </TitlesOfParts>
  <Company>DOI</Company>
  <LinksUpToDate>false</LinksUpToDate>
  <CharactersWithSpaces>25618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C</dc:title>
  <dc:creator>Belter, Mark S</dc:creator>
  <cp:lastModifiedBy>Zhen-gang ji</cp:lastModifiedBy>
  <cp:revision>5</cp:revision>
  <cp:lastPrinted>2015-05-18T16:59:00Z</cp:lastPrinted>
  <dcterms:created xsi:type="dcterms:W3CDTF">2024-04-04T20:04:00Z</dcterms:created>
  <dcterms:modified xsi:type="dcterms:W3CDTF">2024-06-03T19:40:00Z</dcterms:modified>
</cp:coreProperties>
</file>