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35" w:rsidRDefault="007B3535" w:rsidP="007B3535">
      <w:pPr>
        <w:rPr>
          <w:rFonts w:ascii="Times New Roman" w:hAnsi="Times New Roman"/>
          <w:sz w:val="24"/>
          <w:szCs w:val="24"/>
        </w:rPr>
      </w:pPr>
      <w:bookmarkStart w:id="0" w:name="_GoBack"/>
      <w:bookmarkEnd w:id="0"/>
      <w:r>
        <w:rPr>
          <w:rFonts w:ascii="Times New Roman" w:hAnsi="Times New Roman"/>
          <w:b/>
          <w:bCs/>
          <w:sz w:val="24"/>
          <w:szCs w:val="24"/>
        </w:rPr>
        <w:t>Question:</w:t>
      </w:r>
      <w:r>
        <w:rPr>
          <w:rFonts w:ascii="Times New Roman" w:hAnsi="Times New Roman"/>
          <w:sz w:val="24"/>
          <w:szCs w:val="24"/>
        </w:rPr>
        <w:t>  In the Funding Opportunity Announcement (HM-</w:t>
      </w:r>
      <w:r w:rsidR="00391C64">
        <w:rPr>
          <w:rFonts w:ascii="Times New Roman" w:hAnsi="Times New Roman"/>
          <w:sz w:val="24"/>
          <w:szCs w:val="24"/>
        </w:rPr>
        <w:t>CST</w:t>
      </w:r>
      <w:r>
        <w:rPr>
          <w:rFonts w:ascii="Times New Roman" w:hAnsi="Times New Roman"/>
          <w:sz w:val="24"/>
          <w:szCs w:val="24"/>
        </w:rPr>
        <w:t>-1</w:t>
      </w:r>
      <w:r w:rsidR="00391C64">
        <w:rPr>
          <w:rFonts w:ascii="Times New Roman" w:hAnsi="Times New Roman"/>
          <w:sz w:val="24"/>
          <w:szCs w:val="24"/>
        </w:rPr>
        <w:t>8</w:t>
      </w:r>
      <w:r>
        <w:rPr>
          <w:rFonts w:ascii="Times New Roman" w:hAnsi="Times New Roman"/>
          <w:sz w:val="24"/>
          <w:szCs w:val="24"/>
        </w:rPr>
        <w:t>-00</w:t>
      </w:r>
      <w:r w:rsidR="00016F25">
        <w:rPr>
          <w:rFonts w:ascii="Times New Roman" w:hAnsi="Times New Roman"/>
          <w:sz w:val="24"/>
          <w:szCs w:val="24"/>
        </w:rPr>
        <w:t>1</w:t>
      </w:r>
      <w:r>
        <w:rPr>
          <w:rFonts w:ascii="Times New Roman" w:hAnsi="Times New Roman"/>
          <w:sz w:val="24"/>
          <w:szCs w:val="24"/>
        </w:rPr>
        <w:t>, FY 201</w:t>
      </w:r>
      <w:r w:rsidR="00391C64">
        <w:rPr>
          <w:rFonts w:ascii="Times New Roman" w:hAnsi="Times New Roman"/>
          <w:sz w:val="24"/>
          <w:szCs w:val="24"/>
        </w:rPr>
        <w:t>8</w:t>
      </w:r>
      <w:r>
        <w:rPr>
          <w:rFonts w:ascii="Times New Roman" w:hAnsi="Times New Roman"/>
          <w:sz w:val="24"/>
          <w:szCs w:val="24"/>
        </w:rPr>
        <w:t xml:space="preserve"> </w:t>
      </w:r>
      <w:r w:rsidR="00391C64">
        <w:rPr>
          <w:rFonts w:ascii="Times New Roman" w:hAnsi="Times New Roman"/>
          <w:sz w:val="24"/>
          <w:szCs w:val="24"/>
        </w:rPr>
        <w:t xml:space="preserve">Community Safety </w:t>
      </w:r>
      <w:r>
        <w:rPr>
          <w:rFonts w:ascii="Times New Roman" w:hAnsi="Times New Roman"/>
          <w:sz w:val="24"/>
          <w:szCs w:val="24"/>
        </w:rPr>
        <w:t xml:space="preserve">Funding Opportunity), PHMSA </w:t>
      </w:r>
      <w:r w:rsidR="00391C64">
        <w:rPr>
          <w:rFonts w:ascii="Times New Roman" w:hAnsi="Times New Roman"/>
          <w:sz w:val="24"/>
          <w:szCs w:val="24"/>
        </w:rPr>
        <w:t xml:space="preserve">identifies </w:t>
      </w:r>
      <w:r w:rsidR="00B7334A">
        <w:rPr>
          <w:rFonts w:ascii="Times New Roman" w:hAnsi="Times New Roman"/>
          <w:sz w:val="24"/>
          <w:szCs w:val="24"/>
        </w:rPr>
        <w:t>eligible applicants as “</w:t>
      </w:r>
      <w:r w:rsidR="00B7334A" w:rsidRPr="00B7334A">
        <w:rPr>
          <w:rFonts w:ascii="Times New Roman" w:hAnsi="Times New Roman"/>
          <w:sz w:val="24"/>
          <w:szCs w:val="24"/>
        </w:rPr>
        <w:t>nonprofit organizations that have the ability to train state and local personnel responsible for enforcing the safe transportation of hazardous materials; or develop best practice guidance on ways to connect with and increase awareness of state and local emergency responders, appropriate Federal, state, local and tribal government organizations, and the general public of hazardous materials being transported through communities.</w:t>
      </w:r>
      <w:r w:rsidR="00B7334A">
        <w:rPr>
          <w:rFonts w:ascii="Times New Roman" w:hAnsi="Times New Roman"/>
          <w:sz w:val="24"/>
          <w:szCs w:val="24"/>
        </w:rPr>
        <w:t>” Does PHMSA require applicants to have the ability to train state and local personnel and</w:t>
      </w:r>
      <w:r w:rsidR="007E6726">
        <w:rPr>
          <w:rFonts w:ascii="Times New Roman" w:hAnsi="Times New Roman"/>
          <w:sz w:val="24"/>
          <w:szCs w:val="24"/>
        </w:rPr>
        <w:t xml:space="preserve"> develop best practice guidance? Or can an </w:t>
      </w:r>
      <w:proofErr w:type="spellStart"/>
      <w:r w:rsidR="007E6726">
        <w:rPr>
          <w:rFonts w:ascii="Times New Roman" w:hAnsi="Times New Roman"/>
          <w:sz w:val="24"/>
          <w:szCs w:val="24"/>
        </w:rPr>
        <w:t>applicants</w:t>
      </w:r>
      <w:proofErr w:type="spellEnd"/>
      <w:r w:rsidR="007E6726">
        <w:rPr>
          <w:rFonts w:ascii="Times New Roman" w:hAnsi="Times New Roman"/>
          <w:sz w:val="24"/>
          <w:szCs w:val="24"/>
        </w:rPr>
        <w:t xml:space="preserve"> focus on one or the other?</w:t>
      </w:r>
    </w:p>
    <w:p w:rsidR="007B3535" w:rsidRDefault="007B3535" w:rsidP="007B3535">
      <w:pPr>
        <w:rPr>
          <w:rFonts w:ascii="Times New Roman" w:hAnsi="Times New Roman"/>
          <w:sz w:val="24"/>
          <w:szCs w:val="24"/>
        </w:rPr>
      </w:pPr>
    </w:p>
    <w:p w:rsidR="007B3535" w:rsidRPr="007B3535" w:rsidRDefault="007B3535" w:rsidP="007B3535">
      <w:pPr>
        <w:rPr>
          <w:rFonts w:ascii="Times New Roman" w:hAnsi="Times New Roman"/>
          <w:sz w:val="24"/>
          <w:szCs w:val="24"/>
        </w:rPr>
      </w:pPr>
      <w:r w:rsidRPr="007B3535">
        <w:rPr>
          <w:rFonts w:ascii="Times New Roman" w:hAnsi="Times New Roman"/>
          <w:b/>
          <w:bCs/>
          <w:sz w:val="24"/>
          <w:szCs w:val="24"/>
        </w:rPr>
        <w:t>Answer:</w:t>
      </w:r>
      <w:r w:rsidRPr="007B3535">
        <w:rPr>
          <w:rFonts w:ascii="Times New Roman" w:hAnsi="Times New Roman"/>
          <w:sz w:val="24"/>
          <w:szCs w:val="24"/>
        </w:rPr>
        <w:t xml:space="preserve">  </w:t>
      </w:r>
      <w:r w:rsidR="007E6726">
        <w:rPr>
          <w:rFonts w:ascii="Times New Roman" w:hAnsi="Times New Roman"/>
          <w:sz w:val="24"/>
          <w:szCs w:val="24"/>
        </w:rPr>
        <w:t xml:space="preserve">No. </w:t>
      </w:r>
      <w:r w:rsidR="00B7334A">
        <w:rPr>
          <w:rFonts w:ascii="Times New Roman" w:hAnsi="Times New Roman"/>
          <w:sz w:val="24"/>
          <w:szCs w:val="24"/>
        </w:rPr>
        <w:t xml:space="preserve">PHMSA does not require applicants to have the ability to both train state and local personnel responsible for enforcing the safe transportation of hazardous materials and develop best practice guidance on ways to connect with and increase awareness of state and local emergency responders, appropriate Federal, state, local and tribal government organizations, and the general public of hazardous materials being transported through communities. Applicants are </w:t>
      </w:r>
      <w:r w:rsidR="001B0478">
        <w:rPr>
          <w:rFonts w:ascii="Times New Roman" w:hAnsi="Times New Roman"/>
          <w:sz w:val="24"/>
          <w:szCs w:val="24"/>
        </w:rPr>
        <w:t xml:space="preserve">encouraged </w:t>
      </w:r>
      <w:r w:rsidR="00B7334A">
        <w:rPr>
          <w:rFonts w:ascii="Times New Roman" w:hAnsi="Times New Roman"/>
          <w:sz w:val="24"/>
          <w:szCs w:val="24"/>
        </w:rPr>
        <w:t xml:space="preserve">to </w:t>
      </w:r>
      <w:r w:rsidR="001B0478">
        <w:rPr>
          <w:rFonts w:ascii="Times New Roman" w:hAnsi="Times New Roman"/>
          <w:sz w:val="24"/>
          <w:szCs w:val="24"/>
        </w:rPr>
        <w:t>apply for one or the other.</w:t>
      </w:r>
    </w:p>
    <w:p w:rsidR="00BF7B6C" w:rsidRDefault="00F15B46">
      <w:pPr>
        <w:rPr>
          <w:rFonts w:ascii="Times New Roman" w:hAnsi="Times New Roman"/>
          <w:sz w:val="24"/>
        </w:rPr>
      </w:pPr>
    </w:p>
    <w:p w:rsidR="0072460F" w:rsidRPr="008D4120" w:rsidRDefault="0072460F" w:rsidP="0072460F">
      <w:pPr>
        <w:rPr>
          <w:rFonts w:ascii="Times New Roman" w:hAnsi="Times New Roman"/>
          <w:bCs/>
          <w:sz w:val="24"/>
          <w:szCs w:val="24"/>
        </w:rPr>
      </w:pPr>
      <w:r w:rsidRPr="008D4120">
        <w:rPr>
          <w:rFonts w:ascii="Times New Roman" w:hAnsi="Times New Roman"/>
          <w:b/>
          <w:bCs/>
          <w:sz w:val="24"/>
          <w:szCs w:val="24"/>
        </w:rPr>
        <w:t>Question:</w:t>
      </w:r>
      <w:r w:rsidRPr="008D4120">
        <w:rPr>
          <w:rFonts w:ascii="Times New Roman" w:hAnsi="Times New Roman"/>
          <w:bCs/>
          <w:sz w:val="24"/>
          <w:szCs w:val="24"/>
        </w:rPr>
        <w:t xml:space="preserve"> </w:t>
      </w:r>
      <w:r w:rsidR="00391C64">
        <w:rPr>
          <w:rFonts w:ascii="Times New Roman" w:hAnsi="Times New Roman"/>
          <w:bCs/>
          <w:sz w:val="24"/>
          <w:szCs w:val="24"/>
        </w:rPr>
        <w:t>H</w:t>
      </w:r>
      <w:r w:rsidRPr="008D4120">
        <w:rPr>
          <w:rFonts w:ascii="Times New Roman" w:hAnsi="Times New Roman"/>
          <w:bCs/>
          <w:sz w:val="24"/>
          <w:szCs w:val="24"/>
        </w:rPr>
        <w:t>ow does DOT define public/private partnerships?</w:t>
      </w:r>
    </w:p>
    <w:p w:rsidR="0072460F" w:rsidRPr="008D4120" w:rsidRDefault="0072460F" w:rsidP="0072460F">
      <w:pPr>
        <w:rPr>
          <w:rFonts w:ascii="Times New Roman" w:hAnsi="Times New Roman"/>
          <w:bCs/>
          <w:sz w:val="24"/>
          <w:szCs w:val="24"/>
        </w:rPr>
      </w:pPr>
    </w:p>
    <w:p w:rsidR="0072460F" w:rsidRPr="008D4120" w:rsidRDefault="0072460F" w:rsidP="0072460F">
      <w:pPr>
        <w:rPr>
          <w:rFonts w:ascii="Times New Roman" w:hAnsi="Times New Roman"/>
          <w:bCs/>
          <w:sz w:val="24"/>
          <w:szCs w:val="24"/>
        </w:rPr>
      </w:pPr>
      <w:r w:rsidRPr="008D4120">
        <w:rPr>
          <w:rFonts w:ascii="Times New Roman" w:hAnsi="Times New Roman"/>
          <w:b/>
          <w:bCs/>
          <w:sz w:val="24"/>
          <w:szCs w:val="24"/>
        </w:rPr>
        <w:t>Answer:</w:t>
      </w:r>
      <w:r w:rsidRPr="008D4120">
        <w:rPr>
          <w:rFonts w:ascii="Times New Roman" w:hAnsi="Times New Roman"/>
          <w:bCs/>
          <w:sz w:val="24"/>
          <w:szCs w:val="24"/>
        </w:rPr>
        <w:t xml:space="preserve"> When PHMSA states "This competitive grant opportunity requests applications from nonprofit organizations representing regional public-private partnerships”, we are referring to nonprofit organizations that have the ability to reach a large audience through active public/private partnerships they have with the emergency response community.</w:t>
      </w:r>
    </w:p>
    <w:p w:rsidR="0072460F" w:rsidRPr="008D4120" w:rsidRDefault="0072460F" w:rsidP="0072460F">
      <w:pPr>
        <w:rPr>
          <w:rFonts w:ascii="Times New Roman" w:hAnsi="Times New Roman"/>
          <w:bCs/>
          <w:sz w:val="24"/>
          <w:szCs w:val="24"/>
        </w:rPr>
      </w:pPr>
    </w:p>
    <w:p w:rsidR="0072460F" w:rsidRPr="00753FB7" w:rsidRDefault="0072460F">
      <w:pPr>
        <w:rPr>
          <w:rFonts w:ascii="Times New Roman" w:hAnsi="Times New Roman"/>
          <w:sz w:val="24"/>
        </w:rPr>
      </w:pPr>
    </w:p>
    <w:sectPr w:rsidR="0072460F" w:rsidRPr="00753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FB7"/>
    <w:rsid w:val="00016F25"/>
    <w:rsid w:val="001A4598"/>
    <w:rsid w:val="001B0478"/>
    <w:rsid w:val="00391C64"/>
    <w:rsid w:val="004978A3"/>
    <w:rsid w:val="006E7A79"/>
    <w:rsid w:val="0072460F"/>
    <w:rsid w:val="00753FB7"/>
    <w:rsid w:val="007B3535"/>
    <w:rsid w:val="007E6726"/>
    <w:rsid w:val="008D4120"/>
    <w:rsid w:val="00B7334A"/>
    <w:rsid w:val="00C5420F"/>
    <w:rsid w:val="00D74C13"/>
    <w:rsid w:val="00E7587D"/>
    <w:rsid w:val="00F15B46"/>
    <w:rsid w:val="00FC2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F4A0E-5A7D-4F4F-A870-F47B5A42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53F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36185">
      <w:bodyDiv w:val="1"/>
      <w:marLeft w:val="0"/>
      <w:marRight w:val="0"/>
      <w:marTop w:val="0"/>
      <w:marBottom w:val="0"/>
      <w:divBdr>
        <w:top w:val="none" w:sz="0" w:space="0" w:color="auto"/>
        <w:left w:val="none" w:sz="0" w:space="0" w:color="auto"/>
        <w:bottom w:val="none" w:sz="0" w:space="0" w:color="auto"/>
        <w:right w:val="none" w:sz="0" w:space="0" w:color="auto"/>
      </w:divBdr>
    </w:div>
    <w:div w:id="1288585058">
      <w:bodyDiv w:val="1"/>
      <w:marLeft w:val="0"/>
      <w:marRight w:val="0"/>
      <w:marTop w:val="0"/>
      <w:marBottom w:val="0"/>
      <w:divBdr>
        <w:top w:val="none" w:sz="0" w:space="0" w:color="auto"/>
        <w:left w:val="none" w:sz="0" w:space="0" w:color="auto"/>
        <w:bottom w:val="none" w:sz="0" w:space="0" w:color="auto"/>
        <w:right w:val="none" w:sz="0" w:space="0" w:color="auto"/>
      </w:divBdr>
    </w:div>
    <w:div w:id="202821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Sheppard, Carla (PHMSA)</dc:creator>
  <cp:lastModifiedBy>Achieng, Rose CTR (PHMSA)</cp:lastModifiedBy>
  <cp:revision>2</cp:revision>
  <dcterms:created xsi:type="dcterms:W3CDTF">2018-06-08T20:08:00Z</dcterms:created>
  <dcterms:modified xsi:type="dcterms:W3CDTF">2018-06-08T20:08:00Z</dcterms:modified>
</cp:coreProperties>
</file>