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3FAA8" w14:textId="07A5B481" w:rsidR="000A4506" w:rsidRPr="00F04D2D" w:rsidRDefault="000A4506" w:rsidP="000A4506">
      <w:pPr>
        <w:pStyle w:val="Heading1"/>
      </w:pPr>
      <w:r w:rsidRPr="00F04D2D">
        <w:t xml:space="preserve">Questions on NOFO: Combat Wildlife Trafficking in </w:t>
      </w:r>
      <w:r w:rsidR="001E0EC1">
        <w:t>Nepal</w:t>
      </w:r>
    </w:p>
    <w:p w14:paraId="6BF3C11E" w14:textId="159AAC54" w:rsidR="000A4506" w:rsidRPr="00F04D2D" w:rsidRDefault="000A4506" w:rsidP="000A4506">
      <w:pPr>
        <w:pStyle w:val="Heading2"/>
        <w:rPr>
          <w:rStyle w:val="SubtleEmphasis"/>
          <w:i w:val="0"/>
          <w:iCs w:val="0"/>
        </w:rPr>
      </w:pPr>
      <w:r w:rsidRPr="00F04D2D">
        <w:rPr>
          <w:rStyle w:val="SubtleEmphasis"/>
        </w:rPr>
        <w:t xml:space="preserve">Opportunity # </w:t>
      </w:r>
      <w:r w:rsidR="002E74D3" w:rsidRPr="002E74D3">
        <w:rPr>
          <w:i/>
          <w:iCs/>
          <w:color w:val="404040" w:themeColor="text1" w:themeTint="BF"/>
        </w:rPr>
        <w:t>SFOP0008099</w:t>
      </w:r>
    </w:p>
    <w:p w14:paraId="01447DAF" w14:textId="05F95B32" w:rsidR="00AD1038" w:rsidRPr="000A4506" w:rsidRDefault="0076684D" w:rsidP="00AD1038">
      <w:pPr>
        <w:rPr>
          <w:i/>
          <w:iCs/>
          <w:color w:val="404040" w:themeColor="text1" w:themeTint="BF"/>
        </w:rPr>
      </w:pPr>
      <w:r>
        <w:rPr>
          <w:rStyle w:val="SubtleEmphasis"/>
        </w:rPr>
        <w:t>June</w:t>
      </w:r>
      <w:r w:rsidR="000A4506">
        <w:rPr>
          <w:rStyle w:val="SubtleEmphasis"/>
        </w:rPr>
        <w:t xml:space="preserve"> </w:t>
      </w:r>
      <w:r>
        <w:rPr>
          <w:rStyle w:val="SubtleEmphasis"/>
        </w:rPr>
        <w:t>4</w:t>
      </w:r>
      <w:r w:rsidR="006E0236">
        <w:rPr>
          <w:rStyle w:val="SubtleEmphasis"/>
        </w:rPr>
        <w:t xml:space="preserve">, </w:t>
      </w:r>
      <w:r w:rsidR="000A4506">
        <w:rPr>
          <w:rStyle w:val="SubtleEmphasis"/>
        </w:rPr>
        <w:t>202</w:t>
      </w:r>
      <w:r w:rsidR="00223243">
        <w:rPr>
          <w:rStyle w:val="SubtleEmphasis"/>
        </w:rPr>
        <w:t>1</w:t>
      </w:r>
    </w:p>
    <w:p w14:paraId="3B9657B3" w14:textId="77777777" w:rsidR="00AD1038" w:rsidRDefault="00AD1038" w:rsidP="00AD1038">
      <w:pPr>
        <w:ind w:left="360"/>
        <w:rPr>
          <w:lang w:val="en-GB"/>
        </w:rPr>
      </w:pPr>
    </w:p>
    <w:p w14:paraId="10BFB4B5" w14:textId="6137EBFC" w:rsidR="006E0236" w:rsidRDefault="006E0236" w:rsidP="00676310">
      <w:pPr>
        <w:numPr>
          <w:ilvl w:val="0"/>
          <w:numId w:val="1"/>
        </w:numPr>
        <w:jc w:val="both"/>
        <w:rPr>
          <w:lang w:val="en-GB"/>
        </w:rPr>
      </w:pPr>
      <w:r w:rsidRPr="006E0236">
        <w:rPr>
          <w:lang w:val="en-GB"/>
        </w:rPr>
        <w:t>Can applicants issue subawards to Nepalese government agencies to support their efforts to combat wildlife trafficking?</w:t>
      </w:r>
    </w:p>
    <w:p w14:paraId="2126E8D7" w14:textId="782D7D39" w:rsidR="006E0236" w:rsidRPr="006E0236" w:rsidRDefault="001D1C0D" w:rsidP="00676310">
      <w:pPr>
        <w:numPr>
          <w:ilvl w:val="1"/>
          <w:numId w:val="1"/>
        </w:numPr>
        <w:jc w:val="both"/>
        <w:rPr>
          <w:color w:val="FF0000"/>
          <w:lang w:val="en-GB"/>
        </w:rPr>
      </w:pPr>
      <w:r>
        <w:rPr>
          <w:color w:val="FF0000"/>
          <w:lang w:val="en-GB"/>
        </w:rPr>
        <w:t>No, this funding opportunity is restricted to non-governmental organizations (NGOs) only. Only NGOs may serve as the prime or sub-grantee under this opportunity.</w:t>
      </w:r>
    </w:p>
    <w:p w14:paraId="3EFE615F" w14:textId="77777777" w:rsidR="006E0236" w:rsidRDefault="006E0236" w:rsidP="00676310">
      <w:pPr>
        <w:ind w:left="720"/>
        <w:jc w:val="both"/>
        <w:rPr>
          <w:lang w:val="en-GB"/>
        </w:rPr>
      </w:pPr>
    </w:p>
    <w:p w14:paraId="258432A9" w14:textId="72D70C43" w:rsidR="006E0236" w:rsidRDefault="006E0236" w:rsidP="00676310">
      <w:pPr>
        <w:numPr>
          <w:ilvl w:val="0"/>
          <w:numId w:val="1"/>
        </w:numPr>
        <w:jc w:val="both"/>
        <w:rPr>
          <w:lang w:val="en-GB"/>
        </w:rPr>
      </w:pPr>
      <w:r w:rsidRPr="006E0236">
        <w:rPr>
          <w:lang w:val="en-GB"/>
        </w:rPr>
        <w:t>In Objective 1, one of the suggested activities is “provide external law enforcement mentors to serve as a resource for new and ongoing investigations”. What kind of mentors is INL envisioning? Would this mean external, international mentors? Does INL have target mentees or an interest in mentorship on specific topics?</w:t>
      </w:r>
    </w:p>
    <w:p w14:paraId="7F80D469" w14:textId="2DA6B18F" w:rsidR="006E0236" w:rsidRDefault="00E30B1D" w:rsidP="00676310">
      <w:pPr>
        <w:numPr>
          <w:ilvl w:val="1"/>
          <w:numId w:val="1"/>
        </w:numPr>
        <w:jc w:val="both"/>
        <w:rPr>
          <w:color w:val="FF0000"/>
          <w:lang w:val="en-GB"/>
        </w:rPr>
      </w:pPr>
      <w:r>
        <w:rPr>
          <w:color w:val="FF0000"/>
          <w:lang w:val="en-GB"/>
        </w:rPr>
        <w:t xml:space="preserve">The list of activities are </w:t>
      </w:r>
      <w:r w:rsidR="003D190B">
        <w:rPr>
          <w:color w:val="FF0000"/>
          <w:lang w:val="en-GB"/>
        </w:rPr>
        <w:t>examples of the types of activities applicants may include in their proposal</w:t>
      </w:r>
      <w:r>
        <w:rPr>
          <w:color w:val="FF0000"/>
          <w:lang w:val="en-GB"/>
        </w:rPr>
        <w:t xml:space="preserve">. </w:t>
      </w:r>
      <w:r w:rsidR="003D190B">
        <w:rPr>
          <w:color w:val="FF0000"/>
          <w:lang w:val="en-GB"/>
        </w:rPr>
        <w:t>However, applicants are welcome to propose other or additional activities and are not restricted to the illustrative list in the NOFO.</w:t>
      </w:r>
    </w:p>
    <w:p w14:paraId="6EF678EA" w14:textId="5724C5D6" w:rsidR="003D190B" w:rsidRPr="006E0236" w:rsidRDefault="000F611D" w:rsidP="00676310">
      <w:pPr>
        <w:numPr>
          <w:ilvl w:val="1"/>
          <w:numId w:val="1"/>
        </w:numPr>
        <w:jc w:val="both"/>
        <w:rPr>
          <w:color w:val="FF0000"/>
          <w:lang w:val="en-GB"/>
        </w:rPr>
      </w:pPr>
      <w:r>
        <w:rPr>
          <w:color w:val="FF0000"/>
          <w:lang w:val="en-GB"/>
        </w:rPr>
        <w:t>If an applicant wishes to propose mentors, the applicant may include whatever type of mentor they believe to be the most appropriate. This includes external and/or international mentors. In addition, the applicant should propose to mentor a specific agency (agencies) or organization(s) within the Government of Nepal. It is up to the applicant to determine how they would like to provide the mentorship, to whom, and on what topics.</w:t>
      </w:r>
      <w:r w:rsidR="00B918C6">
        <w:rPr>
          <w:color w:val="FF0000"/>
          <w:lang w:val="en-GB"/>
        </w:rPr>
        <w:t xml:space="preserve"> INL encourages applicants to use their best judgement and to propose activities that are within </w:t>
      </w:r>
      <w:r w:rsidR="00344FE6">
        <w:rPr>
          <w:color w:val="FF0000"/>
          <w:lang w:val="en-GB"/>
        </w:rPr>
        <w:t>your</w:t>
      </w:r>
      <w:r w:rsidR="00B918C6">
        <w:rPr>
          <w:color w:val="FF0000"/>
          <w:lang w:val="en-GB"/>
        </w:rPr>
        <w:t xml:space="preserve"> NGO’s capacity to deliver.</w:t>
      </w:r>
    </w:p>
    <w:p w14:paraId="1D07E44C" w14:textId="77777777" w:rsidR="006E0236" w:rsidRDefault="006E0236" w:rsidP="00676310">
      <w:pPr>
        <w:ind w:left="720"/>
        <w:jc w:val="both"/>
        <w:rPr>
          <w:lang w:val="en-GB"/>
        </w:rPr>
      </w:pPr>
    </w:p>
    <w:p w14:paraId="5B984BFE" w14:textId="3FEA5D3E" w:rsidR="006E0236" w:rsidRDefault="006E0236" w:rsidP="00676310">
      <w:pPr>
        <w:numPr>
          <w:ilvl w:val="0"/>
          <w:numId w:val="1"/>
        </w:numPr>
        <w:jc w:val="both"/>
        <w:rPr>
          <w:lang w:val="en-GB"/>
        </w:rPr>
      </w:pPr>
      <w:r w:rsidRPr="006E0236">
        <w:rPr>
          <w:lang w:val="en-GB"/>
        </w:rPr>
        <w:t>The Activity Map is a new requirement this year. Can INL provide guidance on your preferred balance between a narrative description of activities and the table format of the Activity Map?</w:t>
      </w:r>
    </w:p>
    <w:p w14:paraId="1CEEEA27" w14:textId="377A1478" w:rsidR="006E0236" w:rsidRPr="006E0236" w:rsidRDefault="006C15C1" w:rsidP="00676310">
      <w:pPr>
        <w:numPr>
          <w:ilvl w:val="1"/>
          <w:numId w:val="1"/>
        </w:numPr>
        <w:jc w:val="both"/>
        <w:rPr>
          <w:color w:val="FF0000"/>
          <w:lang w:val="en-GB"/>
        </w:rPr>
      </w:pPr>
      <w:r>
        <w:rPr>
          <w:color w:val="FF0000"/>
          <w:lang w:val="en-GB"/>
        </w:rPr>
        <w:t xml:space="preserve">The proposal narrative is the most important component of any application. Applicants must describe all activities in detail in the proposal narrative. The Activity Map is an appendix that provides the same information in the proposal narrative, but in a table format. Any activity or detail that is included in the Activity Map, but not the proposal narrative, </w:t>
      </w:r>
      <w:r w:rsidR="00263BCC">
        <w:rPr>
          <w:color w:val="FF0000"/>
          <w:lang w:val="en-GB"/>
        </w:rPr>
        <w:t>may</w:t>
      </w:r>
      <w:r>
        <w:rPr>
          <w:color w:val="FF0000"/>
          <w:lang w:val="en-GB"/>
        </w:rPr>
        <w:t xml:space="preserve"> not be fully considered by the grant review panel.</w:t>
      </w:r>
    </w:p>
    <w:p w14:paraId="4654C287" w14:textId="3443F1E5" w:rsidR="00260FB2" w:rsidRDefault="00260FB2" w:rsidP="00676310">
      <w:pPr>
        <w:jc w:val="both"/>
        <w:rPr>
          <w:lang w:val="en-GB"/>
        </w:rPr>
      </w:pPr>
    </w:p>
    <w:p w14:paraId="46D436B4" w14:textId="77777777" w:rsidR="0076684D" w:rsidRDefault="0076684D" w:rsidP="00676310">
      <w:pPr>
        <w:numPr>
          <w:ilvl w:val="0"/>
          <w:numId w:val="1"/>
        </w:numPr>
        <w:jc w:val="both"/>
        <w:rPr>
          <w:lang w:val="en-GB"/>
        </w:rPr>
      </w:pPr>
      <w:r>
        <w:rPr>
          <w:lang w:val="en-GB"/>
        </w:rPr>
        <w:t>Clarification on the Activity Map:</w:t>
      </w:r>
    </w:p>
    <w:p w14:paraId="4A93530C" w14:textId="31C1EDE9" w:rsidR="0076684D" w:rsidRDefault="0076684D" w:rsidP="00676310">
      <w:pPr>
        <w:numPr>
          <w:ilvl w:val="1"/>
          <w:numId w:val="1"/>
        </w:numPr>
        <w:jc w:val="both"/>
        <w:rPr>
          <w:color w:val="FF0000"/>
          <w:lang w:val="en-GB"/>
        </w:rPr>
      </w:pPr>
      <w:r w:rsidRPr="0076684D">
        <w:rPr>
          <w:color w:val="FF0000"/>
          <w:lang w:val="en-GB"/>
        </w:rPr>
        <w:t xml:space="preserve">The Activity Map </w:t>
      </w:r>
      <w:r w:rsidRPr="00487D87">
        <w:rPr>
          <w:b/>
          <w:i/>
          <w:color w:val="FF0000"/>
          <w:u w:val="single"/>
          <w:lang w:val="en-GB"/>
        </w:rPr>
        <w:t>DOES NOT</w:t>
      </w:r>
      <w:r w:rsidRPr="0076684D">
        <w:rPr>
          <w:color w:val="FF0000"/>
          <w:lang w:val="en-GB"/>
        </w:rPr>
        <w:t xml:space="preserve"> count towards the 15-page limit.</w:t>
      </w:r>
      <w:r>
        <w:rPr>
          <w:color w:val="FF0000"/>
          <w:lang w:val="en-GB"/>
        </w:rPr>
        <w:t xml:space="preserve"> Instead, please include the Activity Map as an appendix, similar to the Monitoring and Evaluation Plan, or the Project Risk Analysis.</w:t>
      </w:r>
    </w:p>
    <w:p w14:paraId="1F5E8B1C" w14:textId="2A0806EA" w:rsidR="0076684D" w:rsidRDefault="0076684D" w:rsidP="00676310">
      <w:pPr>
        <w:numPr>
          <w:ilvl w:val="1"/>
          <w:numId w:val="1"/>
        </w:numPr>
        <w:jc w:val="both"/>
        <w:rPr>
          <w:color w:val="FF0000"/>
          <w:lang w:val="en-GB"/>
        </w:rPr>
      </w:pPr>
      <w:r>
        <w:rPr>
          <w:color w:val="FF0000"/>
          <w:lang w:val="en-GB"/>
        </w:rPr>
        <w:t>The proposal narrative must include the following:</w:t>
      </w:r>
    </w:p>
    <w:p w14:paraId="10FE104F" w14:textId="37FAF628" w:rsidR="0076684D" w:rsidRDefault="0076684D" w:rsidP="00676310">
      <w:pPr>
        <w:numPr>
          <w:ilvl w:val="2"/>
          <w:numId w:val="1"/>
        </w:numPr>
        <w:jc w:val="both"/>
        <w:rPr>
          <w:color w:val="FF0000"/>
          <w:lang w:val="en-GB"/>
        </w:rPr>
      </w:pPr>
      <w:r>
        <w:rPr>
          <w:color w:val="FF0000"/>
          <w:lang w:val="en-GB"/>
        </w:rPr>
        <w:t>Cover page</w:t>
      </w:r>
    </w:p>
    <w:p w14:paraId="31C2364C" w14:textId="36DAAE98" w:rsidR="0076684D" w:rsidRDefault="0076684D" w:rsidP="00676310">
      <w:pPr>
        <w:numPr>
          <w:ilvl w:val="2"/>
          <w:numId w:val="1"/>
        </w:numPr>
        <w:jc w:val="both"/>
        <w:rPr>
          <w:color w:val="FF0000"/>
          <w:lang w:val="en-GB"/>
        </w:rPr>
      </w:pPr>
      <w:r>
        <w:rPr>
          <w:color w:val="FF0000"/>
          <w:lang w:val="en-GB"/>
        </w:rPr>
        <w:t>Table of contents</w:t>
      </w:r>
    </w:p>
    <w:p w14:paraId="7E68D28F" w14:textId="659EB1E3" w:rsidR="0076684D" w:rsidRDefault="0076684D" w:rsidP="00676310">
      <w:pPr>
        <w:numPr>
          <w:ilvl w:val="2"/>
          <w:numId w:val="1"/>
        </w:numPr>
        <w:jc w:val="both"/>
        <w:rPr>
          <w:color w:val="FF0000"/>
          <w:lang w:val="en-GB"/>
        </w:rPr>
      </w:pPr>
      <w:r>
        <w:rPr>
          <w:color w:val="FF0000"/>
          <w:lang w:val="en-GB"/>
        </w:rPr>
        <w:t>Executive summary</w:t>
      </w:r>
    </w:p>
    <w:p w14:paraId="141B380B" w14:textId="4CF4C72C" w:rsidR="0076684D" w:rsidRPr="00E0723C" w:rsidRDefault="0076684D" w:rsidP="00676310">
      <w:pPr>
        <w:numPr>
          <w:ilvl w:val="2"/>
          <w:numId w:val="1"/>
        </w:numPr>
        <w:jc w:val="both"/>
        <w:rPr>
          <w:b/>
          <w:color w:val="FF0000"/>
          <w:lang w:val="en-GB"/>
        </w:rPr>
      </w:pPr>
      <w:r w:rsidRPr="00E0723C">
        <w:rPr>
          <w:b/>
          <w:color w:val="FF0000"/>
          <w:lang w:val="en-GB"/>
        </w:rPr>
        <w:t>Technical narrative</w:t>
      </w:r>
      <w:r w:rsidR="007F24E6" w:rsidRPr="00E0723C">
        <w:rPr>
          <w:b/>
          <w:color w:val="FF0000"/>
          <w:lang w:val="en-GB"/>
        </w:rPr>
        <w:t>: provide the specifics of the project, including the goals, objectives, and all the details of the activities</w:t>
      </w:r>
    </w:p>
    <w:p w14:paraId="3E0ECADE" w14:textId="213174F7" w:rsidR="0076684D" w:rsidRDefault="0076684D" w:rsidP="00676310">
      <w:pPr>
        <w:numPr>
          <w:ilvl w:val="2"/>
          <w:numId w:val="1"/>
        </w:numPr>
        <w:jc w:val="both"/>
        <w:rPr>
          <w:color w:val="FF0000"/>
          <w:lang w:val="en-GB"/>
        </w:rPr>
      </w:pPr>
      <w:r>
        <w:rPr>
          <w:color w:val="FF0000"/>
          <w:lang w:val="en-GB"/>
        </w:rPr>
        <w:lastRenderedPageBreak/>
        <w:t>Timeline</w:t>
      </w:r>
    </w:p>
    <w:p w14:paraId="0543F0DD" w14:textId="451669AD" w:rsidR="0076684D" w:rsidRPr="0076684D" w:rsidRDefault="0076684D" w:rsidP="00676310">
      <w:pPr>
        <w:numPr>
          <w:ilvl w:val="2"/>
          <w:numId w:val="1"/>
        </w:numPr>
        <w:jc w:val="both"/>
        <w:rPr>
          <w:color w:val="FF0000"/>
          <w:lang w:val="en-GB"/>
        </w:rPr>
      </w:pPr>
      <w:r>
        <w:rPr>
          <w:color w:val="FF0000"/>
          <w:lang w:val="en-GB"/>
        </w:rPr>
        <w:t>Sustainability</w:t>
      </w:r>
    </w:p>
    <w:p w14:paraId="2DA3BC01" w14:textId="63F0D58F" w:rsidR="0076684D" w:rsidRPr="0076684D" w:rsidRDefault="0076684D" w:rsidP="00676310">
      <w:pPr>
        <w:numPr>
          <w:ilvl w:val="1"/>
          <w:numId w:val="1"/>
        </w:numPr>
        <w:jc w:val="both"/>
        <w:rPr>
          <w:lang w:val="en-GB"/>
        </w:rPr>
      </w:pPr>
      <w:r>
        <w:rPr>
          <w:color w:val="FF0000"/>
          <w:lang w:val="en-GB"/>
        </w:rPr>
        <w:t>Every application must include a technical narrative. In this section, the applicant must detail all of the proposed activities, including answer</w:t>
      </w:r>
      <w:r w:rsidR="00487D87">
        <w:rPr>
          <w:color w:val="FF0000"/>
          <w:lang w:val="en-GB"/>
        </w:rPr>
        <w:t>s to</w:t>
      </w:r>
      <w:r>
        <w:rPr>
          <w:color w:val="FF0000"/>
          <w:lang w:val="en-GB"/>
        </w:rPr>
        <w:t xml:space="preserve"> the questions: who, what, where, when, why, and how. The technical narrative should be written in complete sentences and provide the grant evaluation panel with all the information necessary to understand the proposed program. Information that is included in the Activity Map, Monitoring and Evaluation Plan, or any other attachment, but not in the technical narrative, may not be fully considered by the grant review panel.</w:t>
      </w:r>
    </w:p>
    <w:sectPr w:rsidR="0076684D" w:rsidRPr="0076684D" w:rsidSect="001C48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38116" w14:textId="77777777" w:rsidR="008C139F" w:rsidRDefault="008C139F" w:rsidP="000A4506">
      <w:r>
        <w:separator/>
      </w:r>
    </w:p>
  </w:endnote>
  <w:endnote w:type="continuationSeparator" w:id="0">
    <w:p w14:paraId="092E75FF" w14:textId="77777777" w:rsidR="008C139F" w:rsidRDefault="008C139F" w:rsidP="000A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FF36A" w14:textId="77777777" w:rsidR="008C139F" w:rsidRDefault="008C139F" w:rsidP="000A4506">
      <w:r>
        <w:separator/>
      </w:r>
    </w:p>
  </w:footnote>
  <w:footnote w:type="continuationSeparator" w:id="0">
    <w:p w14:paraId="4D102B89" w14:textId="77777777" w:rsidR="008C139F" w:rsidRDefault="008C139F" w:rsidP="000A4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1A9"/>
    <w:multiLevelType w:val="hybridMultilevel"/>
    <w:tmpl w:val="851AC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9F43C90"/>
    <w:multiLevelType w:val="multilevel"/>
    <w:tmpl w:val="23028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3D6D96"/>
    <w:multiLevelType w:val="multilevel"/>
    <w:tmpl w:val="AC84E93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FF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0C1EE9"/>
    <w:multiLevelType w:val="hybridMultilevel"/>
    <w:tmpl w:val="EDEAB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F4E4F"/>
    <w:multiLevelType w:val="hybridMultilevel"/>
    <w:tmpl w:val="59B87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5F390C"/>
    <w:multiLevelType w:val="hybridMultilevel"/>
    <w:tmpl w:val="74C88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03D7A"/>
    <w:multiLevelType w:val="multilevel"/>
    <w:tmpl w:val="96664812"/>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A7411C"/>
    <w:multiLevelType w:val="multilevel"/>
    <w:tmpl w:val="1230F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84D4C"/>
    <w:multiLevelType w:val="hybridMultilevel"/>
    <w:tmpl w:val="25A0E0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7"/>
  </w:num>
  <w:num w:numId="4">
    <w:abstractNumId w:val="6"/>
  </w:num>
  <w:num w:numId="5">
    <w:abstractNumId w:val="8"/>
  </w:num>
  <w:num w:numId="6">
    <w:abstractNumId w:val="4"/>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8"/>
    <w:rsid w:val="000A4506"/>
    <w:rsid w:val="000A5E1C"/>
    <w:rsid w:val="000F174F"/>
    <w:rsid w:val="000F611D"/>
    <w:rsid w:val="00154784"/>
    <w:rsid w:val="001C481D"/>
    <w:rsid w:val="001D1C0D"/>
    <w:rsid w:val="001E0EC1"/>
    <w:rsid w:val="00223243"/>
    <w:rsid w:val="00246EE7"/>
    <w:rsid w:val="00260FB2"/>
    <w:rsid w:val="00263A58"/>
    <w:rsid w:val="00263BCC"/>
    <w:rsid w:val="0028146B"/>
    <w:rsid w:val="002E16B3"/>
    <w:rsid w:val="002E74D3"/>
    <w:rsid w:val="00337DB6"/>
    <w:rsid w:val="00344FE6"/>
    <w:rsid w:val="003A78B5"/>
    <w:rsid w:val="003D190B"/>
    <w:rsid w:val="00487D87"/>
    <w:rsid w:val="004C24A2"/>
    <w:rsid w:val="00520264"/>
    <w:rsid w:val="00561F47"/>
    <w:rsid w:val="00622F63"/>
    <w:rsid w:val="006663C0"/>
    <w:rsid w:val="00676310"/>
    <w:rsid w:val="006C15C1"/>
    <w:rsid w:val="006E0236"/>
    <w:rsid w:val="007330DE"/>
    <w:rsid w:val="0073549F"/>
    <w:rsid w:val="0076684D"/>
    <w:rsid w:val="007F24E6"/>
    <w:rsid w:val="00831715"/>
    <w:rsid w:val="008C139F"/>
    <w:rsid w:val="00936A39"/>
    <w:rsid w:val="00A1355E"/>
    <w:rsid w:val="00A3090B"/>
    <w:rsid w:val="00A503E3"/>
    <w:rsid w:val="00AD1038"/>
    <w:rsid w:val="00AF3228"/>
    <w:rsid w:val="00B04A8A"/>
    <w:rsid w:val="00B85A04"/>
    <w:rsid w:val="00B918C6"/>
    <w:rsid w:val="00CC5B2C"/>
    <w:rsid w:val="00CE5099"/>
    <w:rsid w:val="00CF2292"/>
    <w:rsid w:val="00DE7529"/>
    <w:rsid w:val="00DF0649"/>
    <w:rsid w:val="00E067E4"/>
    <w:rsid w:val="00E0723C"/>
    <w:rsid w:val="00E161E8"/>
    <w:rsid w:val="00E30B1D"/>
    <w:rsid w:val="00E86954"/>
    <w:rsid w:val="00EA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A94E7"/>
  <w15:chartTrackingRefBased/>
  <w15:docId w15:val="{FDC133FF-0CF4-2A4C-91B9-5CE78CCC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2C"/>
    <w:rPr>
      <w:rFonts w:ascii="Times New Roman" w:hAnsi="Times New Roman"/>
    </w:rPr>
  </w:style>
  <w:style w:type="paragraph" w:styleId="Heading1">
    <w:name w:val="heading 1"/>
    <w:basedOn w:val="Normal"/>
    <w:next w:val="Normal"/>
    <w:link w:val="Heading1Char"/>
    <w:uiPriority w:val="9"/>
    <w:qFormat/>
    <w:rsid w:val="000A4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5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038"/>
    <w:pPr>
      <w:ind w:left="720"/>
      <w:contextualSpacing/>
    </w:pPr>
  </w:style>
  <w:style w:type="character" w:customStyle="1" w:styleId="Heading1Char">
    <w:name w:val="Heading 1 Char"/>
    <w:basedOn w:val="DefaultParagraphFont"/>
    <w:link w:val="Heading1"/>
    <w:uiPriority w:val="9"/>
    <w:rsid w:val="000A45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4506"/>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0A4506"/>
    <w:rPr>
      <w:i/>
      <w:iCs/>
      <w:color w:val="404040" w:themeColor="text1" w:themeTint="BF"/>
    </w:rPr>
  </w:style>
  <w:style w:type="paragraph" w:customStyle="1" w:styleId="Default">
    <w:name w:val="Default"/>
    <w:rsid w:val="00260FB2"/>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6E0236"/>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646877">
      <w:bodyDiv w:val="1"/>
      <w:marLeft w:val="0"/>
      <w:marRight w:val="0"/>
      <w:marTop w:val="0"/>
      <w:marBottom w:val="0"/>
      <w:divBdr>
        <w:top w:val="none" w:sz="0" w:space="0" w:color="auto"/>
        <w:left w:val="none" w:sz="0" w:space="0" w:color="auto"/>
        <w:bottom w:val="none" w:sz="0" w:space="0" w:color="auto"/>
        <w:right w:val="none" w:sz="0" w:space="0" w:color="auto"/>
      </w:divBdr>
    </w:div>
    <w:div w:id="1057046807">
      <w:bodyDiv w:val="1"/>
      <w:marLeft w:val="0"/>
      <w:marRight w:val="0"/>
      <w:marTop w:val="0"/>
      <w:marBottom w:val="0"/>
      <w:divBdr>
        <w:top w:val="none" w:sz="0" w:space="0" w:color="auto"/>
        <w:left w:val="none" w:sz="0" w:space="0" w:color="auto"/>
        <w:bottom w:val="none" w:sz="0" w:space="0" w:color="auto"/>
        <w:right w:val="none" w:sz="0" w:space="0" w:color="auto"/>
      </w:divBdr>
    </w:div>
    <w:div w:id="1295065028">
      <w:bodyDiv w:val="1"/>
      <w:marLeft w:val="0"/>
      <w:marRight w:val="0"/>
      <w:marTop w:val="0"/>
      <w:marBottom w:val="0"/>
      <w:divBdr>
        <w:top w:val="none" w:sz="0" w:space="0" w:color="auto"/>
        <w:left w:val="none" w:sz="0" w:space="0" w:color="auto"/>
        <w:bottom w:val="none" w:sz="0" w:space="0" w:color="auto"/>
        <w:right w:val="none" w:sz="0" w:space="0" w:color="auto"/>
      </w:divBdr>
      <w:divsChild>
        <w:div w:id="286157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15797">
              <w:marLeft w:val="0"/>
              <w:marRight w:val="0"/>
              <w:marTop w:val="0"/>
              <w:marBottom w:val="0"/>
              <w:divBdr>
                <w:top w:val="none" w:sz="0" w:space="0" w:color="auto"/>
                <w:left w:val="none" w:sz="0" w:space="0" w:color="auto"/>
                <w:bottom w:val="none" w:sz="0" w:space="0" w:color="auto"/>
                <w:right w:val="none" w:sz="0" w:space="0" w:color="auto"/>
              </w:divBdr>
              <w:divsChild>
                <w:div w:id="1129518309">
                  <w:marLeft w:val="0"/>
                  <w:marRight w:val="0"/>
                  <w:marTop w:val="0"/>
                  <w:marBottom w:val="0"/>
                  <w:divBdr>
                    <w:top w:val="none" w:sz="0" w:space="0" w:color="auto"/>
                    <w:left w:val="none" w:sz="0" w:space="0" w:color="auto"/>
                    <w:bottom w:val="none" w:sz="0" w:space="0" w:color="auto"/>
                    <w:right w:val="none" w:sz="0" w:space="0" w:color="auto"/>
                  </w:divBdr>
                  <w:divsChild>
                    <w:div w:id="183714962">
                      <w:marLeft w:val="0"/>
                      <w:marRight w:val="0"/>
                      <w:marTop w:val="0"/>
                      <w:marBottom w:val="0"/>
                      <w:divBdr>
                        <w:top w:val="none" w:sz="0" w:space="0" w:color="auto"/>
                        <w:left w:val="none" w:sz="0" w:space="0" w:color="auto"/>
                        <w:bottom w:val="none" w:sz="0" w:space="0" w:color="auto"/>
                        <w:right w:val="none" w:sz="0" w:space="0" w:color="auto"/>
                      </w:divBdr>
                      <w:divsChild>
                        <w:div w:id="977345468">
                          <w:marLeft w:val="0"/>
                          <w:marRight w:val="0"/>
                          <w:marTop w:val="0"/>
                          <w:marBottom w:val="0"/>
                          <w:divBdr>
                            <w:top w:val="none" w:sz="0" w:space="0" w:color="auto"/>
                            <w:left w:val="none" w:sz="0" w:space="0" w:color="auto"/>
                            <w:bottom w:val="none" w:sz="0" w:space="0" w:color="auto"/>
                            <w:right w:val="none" w:sz="0" w:space="0" w:color="auto"/>
                          </w:divBdr>
                          <w:divsChild>
                            <w:div w:id="1414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069787">
      <w:bodyDiv w:val="1"/>
      <w:marLeft w:val="0"/>
      <w:marRight w:val="0"/>
      <w:marTop w:val="0"/>
      <w:marBottom w:val="0"/>
      <w:divBdr>
        <w:top w:val="none" w:sz="0" w:space="0" w:color="auto"/>
        <w:left w:val="none" w:sz="0" w:space="0" w:color="auto"/>
        <w:bottom w:val="none" w:sz="0" w:space="0" w:color="auto"/>
        <w:right w:val="none" w:sz="0" w:space="0" w:color="auto"/>
      </w:divBdr>
    </w:div>
    <w:div w:id="181259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Catherwood</dc:creator>
  <cp:keywords/>
  <dc:description/>
  <cp:lastModifiedBy>Starr, Najar D</cp:lastModifiedBy>
  <cp:revision>19</cp:revision>
  <dcterms:created xsi:type="dcterms:W3CDTF">2021-04-30T17:15:00Z</dcterms:created>
  <dcterms:modified xsi:type="dcterms:W3CDTF">2021-06-07T01:10:00Z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CatherwoodLH@state.gov</vt:lpwstr>
  </property>
  <property fmtid="{D5CDD505-2E9C-101B-9397-08002B2CF9AE}" pid="5" name="MSIP_Label_1665d9ee-429a-4d5f-97cc-cfb56e044a6e_SetDate">
    <vt:lpwstr>2020-04-23T21:31:21.7629845Z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a0d73aad-3af0-4096-9b6d-ee0eb388ecad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