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374" w:rsidRPr="00910723" w:rsidRDefault="00E32C72">
      <w:pPr>
        <w:rPr>
          <w:sz w:val="22"/>
        </w:rPr>
      </w:pPr>
      <w:r>
        <w:tab/>
      </w:r>
      <w:r>
        <w:tab/>
      </w:r>
      <w:r w:rsidR="00910723">
        <w:tab/>
      </w:r>
      <w:r w:rsidR="00910723">
        <w:tab/>
      </w:r>
    </w:p>
    <w:p w:rsidR="00EA0374" w:rsidRDefault="00EA0374" w:rsidP="00C12B36">
      <w:pPr>
        <w:jc w:val="center"/>
        <w:outlineLvl w:val="0"/>
        <w:rPr>
          <w:b/>
          <w:sz w:val="32"/>
          <w:szCs w:val="32"/>
        </w:rPr>
      </w:pPr>
      <w:r w:rsidRPr="003A7E67">
        <w:rPr>
          <w:b/>
          <w:sz w:val="32"/>
          <w:szCs w:val="32"/>
        </w:rPr>
        <w:t>NOTICE OF INTENT TO AWARD</w:t>
      </w:r>
    </w:p>
    <w:p w:rsidR="00EA0374" w:rsidRPr="00910723" w:rsidRDefault="00EA0374" w:rsidP="00EA0374">
      <w:pPr>
        <w:jc w:val="center"/>
        <w:rPr>
          <w:b/>
          <w:sz w:val="22"/>
          <w:szCs w:val="32"/>
        </w:rPr>
      </w:pPr>
    </w:p>
    <w:p w:rsidR="00EA0374" w:rsidRPr="00910723" w:rsidRDefault="00EA0374" w:rsidP="00EA0374">
      <w:pPr>
        <w:rPr>
          <w:sz w:val="22"/>
        </w:rPr>
      </w:pPr>
      <w:r w:rsidRPr="00910723">
        <w:rPr>
          <w:sz w:val="22"/>
        </w:rPr>
        <w:t xml:space="preserve">This Funding Announcement is not a request for applications.  This announcement is to provide public notice of </w:t>
      </w:r>
      <w:r w:rsidR="00CF6541" w:rsidRPr="00910723">
        <w:rPr>
          <w:sz w:val="22"/>
        </w:rPr>
        <w:t xml:space="preserve">the </w:t>
      </w:r>
      <w:r w:rsidR="00CE056D">
        <w:rPr>
          <w:sz w:val="22"/>
        </w:rPr>
        <w:t>Bureau of Land Management’s</w:t>
      </w:r>
      <w:r w:rsidRPr="00910723">
        <w:rPr>
          <w:sz w:val="22"/>
        </w:rPr>
        <w:t xml:space="preserve"> intention to fund the following project activities without full and open competition.</w:t>
      </w:r>
    </w:p>
    <w:p w:rsidR="00EA0374" w:rsidRDefault="00EA0374" w:rsidP="00EA0374"/>
    <w:tbl>
      <w:tblPr>
        <w:tblW w:w="4978"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613"/>
        <w:gridCol w:w="8355"/>
      </w:tblGrid>
      <w:tr w:rsidR="00EA0374" w:rsidRPr="00683645" w:rsidTr="00CE640F">
        <w:trPr>
          <w:trHeight w:val="324"/>
        </w:trPr>
        <w:tc>
          <w:tcPr>
            <w:tcW w:w="5000" w:type="pct"/>
            <w:gridSpan w:val="2"/>
            <w:tcBorders>
              <w:top w:val="double" w:sz="4" w:space="0" w:color="auto"/>
              <w:bottom w:val="double" w:sz="4" w:space="0" w:color="auto"/>
            </w:tcBorders>
            <w:shd w:val="clear" w:color="auto" w:fill="C6D9F1" w:themeFill="text2" w:themeFillTint="33"/>
          </w:tcPr>
          <w:p w:rsidR="00EA0374" w:rsidRPr="00F67756" w:rsidRDefault="00EA0374" w:rsidP="00F67756">
            <w:pPr>
              <w:jc w:val="center"/>
              <w:rPr>
                <w:b/>
                <w:sz w:val="28"/>
                <w:szCs w:val="28"/>
              </w:rPr>
            </w:pPr>
            <w:r w:rsidRPr="00F67756">
              <w:rPr>
                <w:b/>
                <w:sz w:val="28"/>
                <w:szCs w:val="28"/>
              </w:rPr>
              <w:t>ABSTRACT</w:t>
            </w:r>
          </w:p>
        </w:tc>
      </w:tr>
      <w:tr w:rsidR="00EA0374" w:rsidRPr="00683645" w:rsidTr="00DA1FC1">
        <w:trPr>
          <w:trHeight w:val="492"/>
        </w:trPr>
        <w:tc>
          <w:tcPr>
            <w:tcW w:w="1191" w:type="pct"/>
            <w:tcBorders>
              <w:top w:val="double" w:sz="4" w:space="0" w:color="auto"/>
            </w:tcBorders>
          </w:tcPr>
          <w:p w:rsidR="00EA0374" w:rsidRPr="00910723" w:rsidRDefault="00EA0374" w:rsidP="009220D5">
            <w:pPr>
              <w:rPr>
                <w:b/>
                <w:sz w:val="22"/>
              </w:rPr>
            </w:pPr>
            <w:r w:rsidRPr="00910723">
              <w:rPr>
                <w:b/>
                <w:sz w:val="22"/>
              </w:rPr>
              <w:t>Funding Announcement</w:t>
            </w:r>
            <w:r w:rsidR="00C928F2" w:rsidRPr="00910723">
              <w:rPr>
                <w:b/>
                <w:sz w:val="22"/>
              </w:rPr>
              <w:t xml:space="preserve"> Number</w:t>
            </w:r>
          </w:p>
        </w:tc>
        <w:tc>
          <w:tcPr>
            <w:tcW w:w="3809" w:type="pct"/>
            <w:tcBorders>
              <w:top w:val="double" w:sz="4" w:space="0" w:color="auto"/>
            </w:tcBorders>
            <w:vAlign w:val="center"/>
          </w:tcPr>
          <w:p w:rsidR="00EA0374" w:rsidRPr="00910723" w:rsidRDefault="00EA0374" w:rsidP="008236AC">
            <w:pPr>
              <w:rPr>
                <w:sz w:val="22"/>
              </w:rPr>
            </w:pPr>
          </w:p>
        </w:tc>
      </w:tr>
      <w:tr w:rsidR="00EA0374" w:rsidRPr="00683645" w:rsidTr="00DA1FC1">
        <w:trPr>
          <w:trHeight w:val="252"/>
        </w:trPr>
        <w:tc>
          <w:tcPr>
            <w:tcW w:w="1191" w:type="pct"/>
          </w:tcPr>
          <w:p w:rsidR="00EA0374" w:rsidRPr="00910723" w:rsidRDefault="00EA0374" w:rsidP="009220D5">
            <w:pPr>
              <w:rPr>
                <w:b/>
                <w:sz w:val="22"/>
              </w:rPr>
            </w:pPr>
            <w:r w:rsidRPr="00910723">
              <w:rPr>
                <w:b/>
                <w:sz w:val="22"/>
              </w:rPr>
              <w:t>Project Title</w:t>
            </w:r>
          </w:p>
        </w:tc>
        <w:tc>
          <w:tcPr>
            <w:tcW w:w="3809" w:type="pct"/>
          </w:tcPr>
          <w:p w:rsidR="00EA0374" w:rsidRPr="00D96871" w:rsidRDefault="00D96871" w:rsidP="00D96871">
            <w:pPr>
              <w:keepNext/>
              <w:spacing w:before="120" w:after="120"/>
            </w:pPr>
            <w:r>
              <w:t>BLM-Alaska, Freshwater Fish Inventory Program, National Petroleum Reserve – Alaska (NPR-A)</w:t>
            </w:r>
          </w:p>
        </w:tc>
      </w:tr>
      <w:tr w:rsidR="00EA0374" w:rsidRPr="00683645" w:rsidTr="00DA1FC1">
        <w:trPr>
          <w:trHeight w:val="252"/>
        </w:trPr>
        <w:tc>
          <w:tcPr>
            <w:tcW w:w="1191" w:type="pct"/>
          </w:tcPr>
          <w:p w:rsidR="00EA0374" w:rsidRPr="00910723" w:rsidRDefault="00EA0374" w:rsidP="009220D5">
            <w:pPr>
              <w:rPr>
                <w:b/>
                <w:sz w:val="22"/>
              </w:rPr>
            </w:pPr>
            <w:r w:rsidRPr="00910723">
              <w:rPr>
                <w:b/>
                <w:sz w:val="22"/>
              </w:rPr>
              <w:t>Recipient</w:t>
            </w:r>
          </w:p>
        </w:tc>
        <w:tc>
          <w:tcPr>
            <w:tcW w:w="3809" w:type="pct"/>
          </w:tcPr>
          <w:p w:rsidR="00EA0374" w:rsidRPr="00910723" w:rsidRDefault="00D96871" w:rsidP="009220D5">
            <w:pPr>
              <w:rPr>
                <w:sz w:val="22"/>
              </w:rPr>
            </w:pPr>
            <w:r>
              <w:t>The State of Alaska, Department of Fish and Game, Sport Fish Division</w:t>
            </w:r>
          </w:p>
        </w:tc>
      </w:tr>
      <w:tr w:rsidR="00EA0374" w:rsidRPr="00683645" w:rsidTr="008236AC">
        <w:trPr>
          <w:trHeight w:val="575"/>
        </w:trPr>
        <w:tc>
          <w:tcPr>
            <w:tcW w:w="1191" w:type="pct"/>
          </w:tcPr>
          <w:p w:rsidR="00EA0374" w:rsidRPr="00910723" w:rsidRDefault="00D04D8B" w:rsidP="009220D5">
            <w:pPr>
              <w:rPr>
                <w:b/>
                <w:sz w:val="22"/>
              </w:rPr>
            </w:pPr>
            <w:r w:rsidRPr="00910723">
              <w:rPr>
                <w:b/>
                <w:sz w:val="22"/>
              </w:rPr>
              <w:t xml:space="preserve">Program </w:t>
            </w:r>
            <w:r w:rsidR="00CE056D">
              <w:rPr>
                <w:b/>
                <w:sz w:val="22"/>
              </w:rPr>
              <w:t>Officer</w:t>
            </w:r>
          </w:p>
        </w:tc>
        <w:tc>
          <w:tcPr>
            <w:tcW w:w="3809" w:type="pct"/>
          </w:tcPr>
          <w:p w:rsidR="006C49AF" w:rsidRPr="00910723" w:rsidRDefault="006C49AF" w:rsidP="009220D5">
            <w:pPr>
              <w:rPr>
                <w:i/>
                <w:sz w:val="22"/>
              </w:rPr>
            </w:pPr>
          </w:p>
          <w:p w:rsidR="006C49AF" w:rsidRPr="00D96871" w:rsidRDefault="00D96871" w:rsidP="009220D5">
            <w:pPr>
              <w:rPr>
                <w:sz w:val="22"/>
              </w:rPr>
            </w:pPr>
            <w:r>
              <w:rPr>
                <w:sz w:val="22"/>
              </w:rPr>
              <w:t>Matthew Whitman</w:t>
            </w:r>
          </w:p>
        </w:tc>
      </w:tr>
      <w:tr w:rsidR="00EA0374" w:rsidRPr="00683645" w:rsidTr="00DA1FC1">
        <w:trPr>
          <w:trHeight w:val="504"/>
        </w:trPr>
        <w:tc>
          <w:tcPr>
            <w:tcW w:w="1191" w:type="pct"/>
          </w:tcPr>
          <w:p w:rsidR="00EA0374" w:rsidRPr="00910723" w:rsidRDefault="00EA0374" w:rsidP="009220D5">
            <w:pPr>
              <w:rPr>
                <w:b/>
                <w:sz w:val="22"/>
              </w:rPr>
            </w:pPr>
            <w:r w:rsidRPr="00910723">
              <w:rPr>
                <w:b/>
                <w:sz w:val="22"/>
              </w:rPr>
              <w:t>Total Anticipated Award Amount</w:t>
            </w:r>
          </w:p>
        </w:tc>
        <w:tc>
          <w:tcPr>
            <w:tcW w:w="3809" w:type="pct"/>
            <w:vAlign w:val="center"/>
          </w:tcPr>
          <w:p w:rsidR="00EA0374" w:rsidRPr="00910723" w:rsidRDefault="00D96871" w:rsidP="00AB3959">
            <w:pPr>
              <w:rPr>
                <w:sz w:val="22"/>
              </w:rPr>
            </w:pPr>
            <w:r>
              <w:rPr>
                <w:sz w:val="22"/>
              </w:rPr>
              <w:t>$360,000</w:t>
            </w:r>
          </w:p>
        </w:tc>
      </w:tr>
      <w:tr w:rsidR="00EA0374" w:rsidRPr="00683645" w:rsidTr="00DA1FC1">
        <w:trPr>
          <w:trHeight w:val="377"/>
        </w:trPr>
        <w:tc>
          <w:tcPr>
            <w:tcW w:w="1191" w:type="pct"/>
            <w:vAlign w:val="center"/>
          </w:tcPr>
          <w:p w:rsidR="00EA0374" w:rsidRPr="00910723" w:rsidRDefault="00EA0374" w:rsidP="009220D5">
            <w:pPr>
              <w:rPr>
                <w:b/>
                <w:sz w:val="22"/>
              </w:rPr>
            </w:pPr>
            <w:r w:rsidRPr="00910723">
              <w:rPr>
                <w:b/>
                <w:sz w:val="22"/>
              </w:rPr>
              <w:t>Cost Share</w:t>
            </w:r>
          </w:p>
        </w:tc>
        <w:tc>
          <w:tcPr>
            <w:tcW w:w="3809" w:type="pct"/>
            <w:vAlign w:val="center"/>
          </w:tcPr>
          <w:p w:rsidR="00EA0374" w:rsidRPr="00D96871" w:rsidRDefault="003E3CF6" w:rsidP="00E45407">
            <w:pPr>
              <w:rPr>
                <w:sz w:val="22"/>
              </w:rPr>
            </w:pPr>
            <w:r>
              <w:rPr>
                <w:sz w:val="22"/>
              </w:rPr>
              <w:t>None</w:t>
            </w:r>
            <w:bookmarkStart w:id="0" w:name="_GoBack"/>
            <w:bookmarkEnd w:id="0"/>
          </w:p>
        </w:tc>
      </w:tr>
      <w:tr w:rsidR="00EA0374" w:rsidRPr="00683645" w:rsidTr="00DA1FC1">
        <w:trPr>
          <w:trHeight w:val="504"/>
        </w:trPr>
        <w:tc>
          <w:tcPr>
            <w:tcW w:w="1191" w:type="pct"/>
          </w:tcPr>
          <w:p w:rsidR="00EA0374" w:rsidRPr="00910723" w:rsidRDefault="00EA0374" w:rsidP="009220D5">
            <w:pPr>
              <w:rPr>
                <w:b/>
                <w:sz w:val="22"/>
              </w:rPr>
            </w:pPr>
            <w:r w:rsidRPr="00910723">
              <w:rPr>
                <w:b/>
                <w:sz w:val="22"/>
              </w:rPr>
              <w:t>New Award or Continuation?</w:t>
            </w:r>
          </w:p>
        </w:tc>
        <w:tc>
          <w:tcPr>
            <w:tcW w:w="3809" w:type="pct"/>
            <w:vAlign w:val="center"/>
          </w:tcPr>
          <w:p w:rsidR="00EA0374" w:rsidRPr="00910723" w:rsidRDefault="00D96871" w:rsidP="0022150F">
            <w:pPr>
              <w:rPr>
                <w:sz w:val="22"/>
              </w:rPr>
            </w:pPr>
            <w:r>
              <w:rPr>
                <w:sz w:val="22"/>
              </w:rPr>
              <w:t>New Award</w:t>
            </w:r>
          </w:p>
        </w:tc>
      </w:tr>
      <w:tr w:rsidR="00EA0374" w:rsidRPr="00683645" w:rsidTr="00DA1FC1">
        <w:trPr>
          <w:trHeight w:val="504"/>
        </w:trPr>
        <w:tc>
          <w:tcPr>
            <w:tcW w:w="1191" w:type="pct"/>
          </w:tcPr>
          <w:p w:rsidR="00EA0374" w:rsidRPr="00910723" w:rsidRDefault="00EA0374" w:rsidP="009220D5">
            <w:pPr>
              <w:rPr>
                <w:b/>
                <w:sz w:val="22"/>
              </w:rPr>
            </w:pPr>
            <w:r w:rsidRPr="00910723">
              <w:rPr>
                <w:b/>
                <w:sz w:val="22"/>
              </w:rPr>
              <w:t>Anticipated Length of Agreement</w:t>
            </w:r>
          </w:p>
        </w:tc>
        <w:tc>
          <w:tcPr>
            <w:tcW w:w="3809" w:type="pct"/>
            <w:vAlign w:val="center"/>
          </w:tcPr>
          <w:p w:rsidR="00EA0374" w:rsidRPr="00910723" w:rsidRDefault="00D96871" w:rsidP="00E45407">
            <w:pPr>
              <w:rPr>
                <w:sz w:val="22"/>
              </w:rPr>
            </w:pPr>
            <w:r>
              <w:rPr>
                <w:sz w:val="22"/>
              </w:rPr>
              <w:t>3 years</w:t>
            </w:r>
          </w:p>
        </w:tc>
      </w:tr>
      <w:tr w:rsidR="00E45407" w:rsidRPr="00683645" w:rsidTr="00DA1FC1">
        <w:trPr>
          <w:trHeight w:val="504"/>
        </w:trPr>
        <w:tc>
          <w:tcPr>
            <w:tcW w:w="1191" w:type="pct"/>
          </w:tcPr>
          <w:p w:rsidR="00E45407" w:rsidRPr="00910723" w:rsidRDefault="00E45407" w:rsidP="009220D5">
            <w:pPr>
              <w:rPr>
                <w:b/>
                <w:sz w:val="22"/>
              </w:rPr>
            </w:pPr>
            <w:r w:rsidRPr="00910723">
              <w:rPr>
                <w:b/>
                <w:sz w:val="22"/>
              </w:rPr>
              <w:t>Anticipated Period of Performance</w:t>
            </w:r>
          </w:p>
        </w:tc>
        <w:tc>
          <w:tcPr>
            <w:tcW w:w="3809" w:type="pct"/>
            <w:vAlign w:val="center"/>
          </w:tcPr>
          <w:p w:rsidR="00E45407" w:rsidRPr="00910723" w:rsidRDefault="00D96871" w:rsidP="0018591B">
            <w:pPr>
              <w:rPr>
                <w:sz w:val="22"/>
              </w:rPr>
            </w:pPr>
            <w:r>
              <w:rPr>
                <w:sz w:val="22"/>
              </w:rPr>
              <w:t>July 1, 2016 to June 30, 2019</w:t>
            </w:r>
          </w:p>
        </w:tc>
      </w:tr>
      <w:tr w:rsidR="00EA0374" w:rsidRPr="00683645" w:rsidTr="00DA1FC1">
        <w:trPr>
          <w:trHeight w:val="252"/>
        </w:trPr>
        <w:tc>
          <w:tcPr>
            <w:tcW w:w="1191" w:type="pct"/>
          </w:tcPr>
          <w:p w:rsidR="00EA0374" w:rsidRPr="00910723" w:rsidRDefault="00EA0374" w:rsidP="009220D5">
            <w:pPr>
              <w:rPr>
                <w:b/>
                <w:sz w:val="22"/>
              </w:rPr>
            </w:pPr>
            <w:r w:rsidRPr="00910723">
              <w:rPr>
                <w:b/>
                <w:sz w:val="22"/>
              </w:rPr>
              <w:t>Award Instrument</w:t>
            </w:r>
          </w:p>
        </w:tc>
        <w:tc>
          <w:tcPr>
            <w:tcW w:w="3809" w:type="pct"/>
          </w:tcPr>
          <w:p w:rsidR="00EA0374" w:rsidRPr="00910723" w:rsidRDefault="002C100F" w:rsidP="0018591B">
            <w:pPr>
              <w:rPr>
                <w:sz w:val="22"/>
              </w:rPr>
            </w:pPr>
            <w:r w:rsidRPr="00910723">
              <w:rPr>
                <w:sz w:val="22"/>
              </w:rPr>
              <w:t>Cooperative Agreement</w:t>
            </w:r>
            <w:r w:rsidR="004870D8" w:rsidRPr="00910723">
              <w:rPr>
                <w:sz w:val="22"/>
              </w:rPr>
              <w:t xml:space="preserve"> </w:t>
            </w:r>
          </w:p>
        </w:tc>
      </w:tr>
      <w:tr w:rsidR="00EA0374" w:rsidRPr="00683645" w:rsidTr="00DA1FC1">
        <w:trPr>
          <w:trHeight w:val="240"/>
        </w:trPr>
        <w:tc>
          <w:tcPr>
            <w:tcW w:w="1191" w:type="pct"/>
          </w:tcPr>
          <w:p w:rsidR="00EA0374" w:rsidRPr="00910723" w:rsidRDefault="00EA0374" w:rsidP="009220D5">
            <w:pPr>
              <w:rPr>
                <w:b/>
                <w:sz w:val="22"/>
              </w:rPr>
            </w:pPr>
            <w:r w:rsidRPr="00910723">
              <w:rPr>
                <w:b/>
                <w:sz w:val="22"/>
              </w:rPr>
              <w:t>Statutory Authority</w:t>
            </w:r>
          </w:p>
        </w:tc>
        <w:tc>
          <w:tcPr>
            <w:tcW w:w="3809" w:type="pct"/>
          </w:tcPr>
          <w:p w:rsidR="00EA0374" w:rsidRPr="00D96871" w:rsidRDefault="00D96871" w:rsidP="00D96871">
            <w:pPr>
              <w:spacing w:before="120" w:after="120"/>
              <w:rPr>
                <w:sz w:val="22"/>
                <w:szCs w:val="22"/>
              </w:rPr>
            </w:pPr>
            <w:r w:rsidRPr="00D96871">
              <w:rPr>
                <w:sz w:val="22"/>
                <w:szCs w:val="22"/>
              </w:rPr>
              <w:t>SIKES ACT, 16 USC 670h and 670j. PL 86-797, Title II, Sec. 202, as added PL 93-452, Sec 2; as amended PL 97-396, Sec 4.  Sec 670h</w:t>
            </w:r>
          </w:p>
        </w:tc>
      </w:tr>
      <w:tr w:rsidR="00AF645E" w:rsidRPr="00683645" w:rsidTr="00DA1FC1">
        <w:trPr>
          <w:trHeight w:val="252"/>
        </w:trPr>
        <w:tc>
          <w:tcPr>
            <w:tcW w:w="1191" w:type="pct"/>
          </w:tcPr>
          <w:p w:rsidR="00AF645E" w:rsidRPr="00910723" w:rsidRDefault="00AF645E" w:rsidP="009220D5">
            <w:pPr>
              <w:rPr>
                <w:b/>
                <w:sz w:val="22"/>
              </w:rPr>
            </w:pPr>
            <w:r w:rsidRPr="00910723">
              <w:rPr>
                <w:b/>
                <w:sz w:val="22"/>
              </w:rPr>
              <w:t>CFDA #</w:t>
            </w:r>
            <w:r w:rsidR="00C37CC7" w:rsidRPr="00910723">
              <w:rPr>
                <w:b/>
                <w:sz w:val="22"/>
              </w:rPr>
              <w:t xml:space="preserve"> and Title</w:t>
            </w:r>
          </w:p>
        </w:tc>
        <w:tc>
          <w:tcPr>
            <w:tcW w:w="3809" w:type="pct"/>
          </w:tcPr>
          <w:p w:rsidR="00AF645E" w:rsidRPr="00D96871" w:rsidRDefault="00D96871" w:rsidP="009220D5">
            <w:pPr>
              <w:rPr>
                <w:i/>
                <w:sz w:val="22"/>
                <w:szCs w:val="22"/>
              </w:rPr>
            </w:pPr>
            <w:r w:rsidRPr="00D96871">
              <w:rPr>
                <w:sz w:val="22"/>
                <w:szCs w:val="22"/>
              </w:rPr>
              <w:t>15.231 - Fish, Wildlife and Plant Conservation Resource Management</w:t>
            </w:r>
          </w:p>
        </w:tc>
      </w:tr>
      <w:tr w:rsidR="00EA0374" w:rsidRPr="00683645" w:rsidTr="00DA1FC1">
        <w:trPr>
          <w:trHeight w:val="756"/>
        </w:trPr>
        <w:tc>
          <w:tcPr>
            <w:tcW w:w="1191" w:type="pct"/>
          </w:tcPr>
          <w:p w:rsidR="00EA0374" w:rsidRPr="00910723" w:rsidRDefault="00EA0374" w:rsidP="009220D5">
            <w:pPr>
              <w:rPr>
                <w:b/>
                <w:sz w:val="22"/>
              </w:rPr>
            </w:pPr>
            <w:r w:rsidRPr="00910723">
              <w:rPr>
                <w:b/>
                <w:sz w:val="22"/>
              </w:rPr>
              <w:t>Single Source Justification Criteria Cited</w:t>
            </w:r>
          </w:p>
        </w:tc>
        <w:tc>
          <w:tcPr>
            <w:tcW w:w="3809" w:type="pct"/>
          </w:tcPr>
          <w:p w:rsidR="00EA0374" w:rsidRPr="00D96871" w:rsidRDefault="00F762B1" w:rsidP="00F762B1">
            <w:pPr>
              <w:rPr>
                <w:sz w:val="22"/>
                <w:szCs w:val="22"/>
              </w:rPr>
            </w:pPr>
            <w:r>
              <w:rPr>
                <w:sz w:val="22"/>
                <w:szCs w:val="22"/>
              </w:rPr>
              <w:t xml:space="preserve">#4 - </w:t>
            </w:r>
            <w:r w:rsidR="00D96871" w:rsidRPr="00D96871">
              <w:rPr>
                <w:sz w:val="22"/>
                <w:szCs w:val="22"/>
              </w:rPr>
              <w:t>Unique Qualifications – The applicant is uniquely qualified to performed the activity based upon a variety of demonstrable factors such as location, property ownership, voluntary support capacity, cost-sharing ability, if applicable, technical expertise, or other such unique qualifications</w:t>
            </w:r>
          </w:p>
        </w:tc>
      </w:tr>
      <w:tr w:rsidR="00EA0374" w:rsidRPr="00683645" w:rsidTr="00DA1FC1">
        <w:trPr>
          <w:trHeight w:val="264"/>
        </w:trPr>
        <w:tc>
          <w:tcPr>
            <w:tcW w:w="1191" w:type="pct"/>
          </w:tcPr>
          <w:p w:rsidR="00EA0374" w:rsidRPr="00910723" w:rsidRDefault="00CE056D" w:rsidP="009220D5">
            <w:pPr>
              <w:rPr>
                <w:b/>
                <w:sz w:val="22"/>
              </w:rPr>
            </w:pPr>
            <w:r>
              <w:rPr>
                <w:b/>
                <w:sz w:val="22"/>
              </w:rPr>
              <w:t xml:space="preserve">BLM </w:t>
            </w:r>
            <w:r w:rsidR="00EA0374" w:rsidRPr="00910723">
              <w:rPr>
                <w:b/>
                <w:sz w:val="22"/>
              </w:rPr>
              <w:t>Point of Contact</w:t>
            </w:r>
          </w:p>
        </w:tc>
        <w:tc>
          <w:tcPr>
            <w:tcW w:w="3809" w:type="pct"/>
            <w:vAlign w:val="center"/>
          </w:tcPr>
          <w:p w:rsidR="00EA0374" w:rsidRPr="00910723" w:rsidRDefault="00D96871" w:rsidP="009220D5">
            <w:pPr>
              <w:rPr>
                <w:sz w:val="22"/>
              </w:rPr>
            </w:pPr>
            <w:r>
              <w:rPr>
                <w:sz w:val="22"/>
              </w:rPr>
              <w:t xml:space="preserve">Betty </w:t>
            </w:r>
            <w:proofErr w:type="spellStart"/>
            <w:r>
              <w:rPr>
                <w:sz w:val="22"/>
              </w:rPr>
              <w:t>Lockard</w:t>
            </w:r>
            <w:proofErr w:type="spellEnd"/>
          </w:p>
        </w:tc>
      </w:tr>
    </w:tbl>
    <w:p w:rsidR="00D01012" w:rsidRDefault="00D01012" w:rsidP="00D01012"/>
    <w:p w:rsidR="00D01012" w:rsidRPr="00992641" w:rsidRDefault="00CE056D" w:rsidP="00CE640F">
      <w:pPr>
        <w:pBdr>
          <w:top w:val="single" w:sz="4" w:space="1" w:color="auto"/>
          <w:left w:val="single" w:sz="4" w:space="4" w:color="auto"/>
          <w:bottom w:val="single" w:sz="4" w:space="1" w:color="auto"/>
          <w:right w:val="single" w:sz="4" w:space="3" w:color="auto"/>
        </w:pBdr>
        <w:shd w:val="clear" w:color="auto" w:fill="C6D9F1" w:themeFill="text2" w:themeFillTint="33"/>
        <w:jc w:val="center"/>
        <w:outlineLvl w:val="0"/>
        <w:rPr>
          <w:b/>
        </w:rPr>
      </w:pPr>
      <w:r>
        <w:rPr>
          <w:b/>
        </w:rPr>
        <w:t>OVERVIEW, RECIPIENT AND BLM</w:t>
      </w:r>
      <w:r w:rsidR="00B9131D">
        <w:rPr>
          <w:b/>
        </w:rPr>
        <w:t xml:space="preserve"> SUBSTANTIAL INVOLVEMENT</w:t>
      </w:r>
    </w:p>
    <w:p w:rsidR="00D96871" w:rsidRPr="00874597" w:rsidRDefault="00D96871" w:rsidP="00D96871">
      <w:pPr>
        <w:spacing w:before="120" w:after="120"/>
        <w:ind w:left="360"/>
      </w:pPr>
      <w:r w:rsidRPr="00D96871">
        <w:rPr>
          <w:b/>
        </w:rPr>
        <w:t>Background:</w:t>
      </w:r>
      <w:r w:rsidRPr="005570ED">
        <w:t xml:space="preserve"> </w:t>
      </w:r>
      <w:r>
        <w:t xml:space="preserve"> The Alaska Department of Fish and Game, Sport Fish Division conducts an Alaska Freshwater Fish Inventory (AFFI) program throughout the State, with various regions being targeted depending on an evaluation of priorities and data gaps.  T</w:t>
      </w:r>
      <w:r w:rsidRPr="00EA0CC2">
        <w:t xml:space="preserve">he State agency is the only entity that has conducted this program, which they have done successfully for more than the last two decades. The State also manages and maintains the official AFFI database as well as the </w:t>
      </w:r>
      <w:proofErr w:type="spellStart"/>
      <w:r w:rsidRPr="00EA0CC2">
        <w:t>Anadromous</w:t>
      </w:r>
      <w:proofErr w:type="spellEnd"/>
      <w:r w:rsidRPr="00EA0CC2">
        <w:t xml:space="preserve"> Waters Catalog (AWC). Various regions are targeted depending on an evaluation of priorities and data gaps. </w:t>
      </w:r>
    </w:p>
    <w:p w:rsidR="00D96871" w:rsidRDefault="00D96871" w:rsidP="00D96871">
      <w:pPr>
        <w:spacing w:before="120" w:after="120"/>
        <w:ind w:left="360"/>
      </w:pPr>
      <w:r>
        <w:t>Over the next two summers, this program would be collecting information about fish species with</w:t>
      </w:r>
      <w:r w:rsidRPr="00874597">
        <w:t xml:space="preserve"> the vast expanse of the NPR-A.</w:t>
      </w:r>
      <w:r>
        <w:t xml:space="preserve"> To </w:t>
      </w:r>
      <w:r w:rsidRPr="00874597">
        <w:t>accomplish th</w:t>
      </w:r>
      <w:r>
        <w:t>is task a</w:t>
      </w:r>
      <w:r w:rsidRPr="00874597">
        <w:t xml:space="preserve"> targeted number of </w:t>
      </w:r>
      <w:proofErr w:type="gramStart"/>
      <w:r w:rsidRPr="00874597">
        <w:t>site</w:t>
      </w:r>
      <w:proofErr w:type="gramEnd"/>
      <w:r>
        <w:t xml:space="preserve"> would be used on both State and BLM lands.  The </w:t>
      </w:r>
      <w:r w:rsidRPr="00874597">
        <w:t>Alaska Freshwater Fish Inventory (AFFI) program</w:t>
      </w:r>
      <w:r>
        <w:t xml:space="preserve"> has been conducted by t</w:t>
      </w:r>
      <w:r w:rsidRPr="00874597">
        <w:t>he Alaska Department of Fish and Game (ADF&amp;G), Sport Fish Division throughout the State</w:t>
      </w:r>
      <w:r>
        <w:t xml:space="preserve"> for more than two decades.  The information obtained through the inventory will be part of the AFFI database as well as the </w:t>
      </w:r>
      <w:proofErr w:type="spellStart"/>
      <w:r w:rsidRPr="00874597">
        <w:t>Anadromous</w:t>
      </w:r>
      <w:proofErr w:type="spellEnd"/>
      <w:r w:rsidRPr="00874597">
        <w:t xml:space="preserve"> Waters Catalog (AWC).</w:t>
      </w:r>
      <w:r>
        <w:t xml:space="preserve"> </w:t>
      </w:r>
      <w:r w:rsidRPr="00874597">
        <w:t xml:space="preserve">Various regions are targeted depending on an evaluation of priorities </w:t>
      </w:r>
      <w:r w:rsidRPr="00874597">
        <w:lastRenderedPageBreak/>
        <w:t>and data gaps.</w:t>
      </w:r>
      <w:r>
        <w:t xml:space="preserve"> </w:t>
      </w:r>
      <w:r w:rsidRPr="00874597">
        <w:t>The type of information collected (distribution of fish species) can be a valuable contribution to the BLM’s land management decisions and site-specific mitigations related to oil and gas exploration and development in the NPR-A.</w:t>
      </w:r>
    </w:p>
    <w:p w:rsidR="00455D30" w:rsidRDefault="00D96871" w:rsidP="00D96871">
      <w:pPr>
        <w:spacing w:before="120" w:after="120"/>
        <w:ind w:left="360"/>
      </w:pPr>
      <w:r w:rsidRPr="00D96871">
        <w:rPr>
          <w:b/>
        </w:rPr>
        <w:t>Objectives:</w:t>
      </w:r>
      <w:r w:rsidRPr="005570ED">
        <w:t xml:space="preserve"> </w:t>
      </w:r>
      <w:r>
        <w:t xml:space="preserve">The primary objective of this program is to systematically sample streams and rivers on public and State lands for fish species present with backpack and boat-based electrofishing. This information will then be quality-reviewed and incorporated in the State’s AFFI database. Sites where </w:t>
      </w:r>
      <w:proofErr w:type="spellStart"/>
      <w:r>
        <w:t>anadromous</w:t>
      </w:r>
      <w:proofErr w:type="spellEnd"/>
      <w:r>
        <w:t xml:space="preserve"> fish species were captured will then be nominated for inclusion in the State’s </w:t>
      </w:r>
      <w:proofErr w:type="spellStart"/>
      <w:r>
        <w:t>Anadromous</w:t>
      </w:r>
      <w:proofErr w:type="spellEnd"/>
      <w:r>
        <w:t xml:space="preserve"> Waters Catalog (AWC).</w:t>
      </w:r>
    </w:p>
    <w:p w:rsidR="00455D30" w:rsidRPr="00D96871" w:rsidRDefault="00D96871" w:rsidP="00D96871">
      <w:pPr>
        <w:spacing w:before="120" w:after="120"/>
        <w:ind w:left="360"/>
      </w:pPr>
      <w:r w:rsidRPr="00D96871">
        <w:rPr>
          <w:b/>
        </w:rPr>
        <w:t>Recipient:</w:t>
      </w:r>
      <w:r w:rsidRPr="005570ED">
        <w:t xml:space="preserve"> </w:t>
      </w:r>
      <w:r>
        <w:t xml:space="preserve"> The State of Alaska, Department of Fish and Game, Sport Fish Division</w:t>
      </w:r>
    </w:p>
    <w:p w:rsidR="00D96871" w:rsidRPr="00D96871" w:rsidRDefault="00455D30" w:rsidP="00D96871">
      <w:pPr>
        <w:spacing w:before="120" w:after="120"/>
        <w:ind w:firstLine="360"/>
        <w:rPr>
          <w:b/>
          <w:sz w:val="22"/>
          <w:szCs w:val="22"/>
        </w:rPr>
      </w:pPr>
      <w:r w:rsidRPr="00D96871">
        <w:rPr>
          <w:b/>
          <w:szCs w:val="22"/>
        </w:rPr>
        <w:t>Program Goals:</w:t>
      </w:r>
      <w:r w:rsidR="00D96871" w:rsidRPr="00D96871">
        <w:rPr>
          <w:b/>
          <w:sz w:val="22"/>
          <w:szCs w:val="22"/>
        </w:rPr>
        <w:t xml:space="preserve"> </w:t>
      </w:r>
    </w:p>
    <w:p w:rsidR="00D96871" w:rsidRPr="00D96871" w:rsidRDefault="00D96871" w:rsidP="00D96871">
      <w:pPr>
        <w:spacing w:before="120" w:after="120"/>
        <w:ind w:firstLine="360"/>
      </w:pPr>
      <w:r>
        <w:rPr>
          <w:sz w:val="22"/>
          <w:szCs w:val="22"/>
        </w:rPr>
        <w:t>1.</w:t>
      </w:r>
      <w:r>
        <w:rPr>
          <w:sz w:val="22"/>
          <w:szCs w:val="22"/>
        </w:rPr>
        <w:tab/>
      </w:r>
      <w:r w:rsidRPr="00D96871">
        <w:t>July-Aug, 2016: Sample streams and rivers in the NPR-A.</w:t>
      </w:r>
    </w:p>
    <w:p w:rsidR="00D96871" w:rsidRDefault="00D96871" w:rsidP="00D96871">
      <w:pPr>
        <w:spacing w:before="120" w:after="120"/>
        <w:ind w:left="360"/>
      </w:pPr>
      <w:r>
        <w:t>2.</w:t>
      </w:r>
      <w:r>
        <w:tab/>
      </w:r>
      <w:r w:rsidRPr="00D96871">
        <w:t>September 2016 - June 2017: Analyze and organize data; incorporate information into the AFFI; make nominations to the AWC.</w:t>
      </w:r>
    </w:p>
    <w:p w:rsidR="00F762B1" w:rsidRDefault="00455D30" w:rsidP="00F762B1">
      <w:pPr>
        <w:spacing w:before="120" w:after="120"/>
        <w:ind w:left="360"/>
      </w:pPr>
      <w:r w:rsidRPr="00F762B1">
        <w:rPr>
          <w:b/>
          <w:szCs w:val="22"/>
        </w:rPr>
        <w:t>BLM’s Substantial Involvement:</w:t>
      </w:r>
      <w:r w:rsidR="00F762B1">
        <w:rPr>
          <w:sz w:val="22"/>
          <w:szCs w:val="22"/>
        </w:rPr>
        <w:t xml:space="preserve">  </w:t>
      </w:r>
      <w:r w:rsidR="00F762B1" w:rsidRPr="00A718AC">
        <w:t>There will be substantive BLM programmatic involvement through the BLM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w:t>
      </w:r>
    </w:p>
    <w:p w:rsidR="00D01012" w:rsidRDefault="00F762B1" w:rsidP="00F762B1">
      <w:pPr>
        <w:spacing w:before="120" w:after="120"/>
        <w:ind w:left="360"/>
      </w:pPr>
      <w:r>
        <w:t xml:space="preserve">Additional:  The BLM PO has been involved with the coordinating and prioritization of site selections with the State, and has provided logistical support as far as camp locations and fuel sites.  The State has is going through fiscal crisis, and now needs BLM financial support as well. </w:t>
      </w:r>
    </w:p>
    <w:p w:rsidR="00A230B9" w:rsidRDefault="00A230B9" w:rsidP="00D01012"/>
    <w:p w:rsidR="00D01012" w:rsidRDefault="00D01012" w:rsidP="00C12B36">
      <w:pPr>
        <w:jc w:val="center"/>
        <w:outlineLvl w:val="0"/>
        <w:rPr>
          <w:b/>
        </w:rPr>
      </w:pPr>
      <w:r>
        <w:rPr>
          <w:b/>
        </w:rPr>
        <w:t>SINGLE-SOURCE JUSTIFICATION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10878"/>
      </w:tblGrid>
      <w:tr w:rsidR="00D01012" w:rsidTr="00CE640F">
        <w:trPr>
          <w:trHeight w:val="769"/>
          <w:jc w:val="center"/>
        </w:trPr>
        <w:tc>
          <w:tcPr>
            <w:tcW w:w="10878" w:type="dxa"/>
            <w:tcBorders>
              <w:top w:val="double" w:sz="4" w:space="0" w:color="auto"/>
              <w:bottom w:val="double" w:sz="4" w:space="0" w:color="auto"/>
            </w:tcBorders>
            <w:shd w:val="clear" w:color="auto" w:fill="C6D9F1" w:themeFill="text2" w:themeFillTint="33"/>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8236AC">
        <w:trPr>
          <w:trHeight w:val="1050"/>
          <w:jc w:val="center"/>
        </w:trPr>
        <w:tc>
          <w:tcPr>
            <w:tcW w:w="10878" w:type="dxa"/>
            <w:tcBorders>
              <w:top w:val="double" w:sz="4" w:space="0" w:color="auto"/>
            </w:tcBorders>
          </w:tcPr>
          <w:p w:rsidR="00D01012" w:rsidRPr="00A230B9" w:rsidRDefault="00D01012" w:rsidP="009220D5">
            <w:pPr>
              <w:rPr>
                <w:sz w:val="22"/>
              </w:rPr>
            </w:pPr>
            <w:r w:rsidRPr="00A230B9">
              <w:rPr>
                <w:sz w:val="22"/>
              </w:rPr>
              <w:t xml:space="preserve">Department of </w:t>
            </w:r>
            <w:r w:rsidR="00A12E34" w:rsidRPr="00A230B9">
              <w:rPr>
                <w:sz w:val="22"/>
              </w:rPr>
              <w:t xml:space="preserve">the </w:t>
            </w:r>
            <w:r w:rsidRPr="00A230B9">
              <w:rPr>
                <w:sz w:val="22"/>
              </w:rPr>
              <w:t xml:space="preserve">Interior </w:t>
            </w:r>
            <w:r w:rsidR="00A12E34" w:rsidRPr="00A230B9">
              <w:rPr>
                <w:sz w:val="22"/>
              </w:rPr>
              <w:t>P</w:t>
            </w:r>
            <w:r w:rsidRPr="00A230B9">
              <w:rPr>
                <w:sz w:val="22"/>
              </w:rP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tc>
      </w:tr>
      <w:tr w:rsidR="00D01012" w:rsidTr="008236AC">
        <w:trPr>
          <w:trHeight w:val="5120"/>
          <w:jc w:val="center"/>
        </w:trPr>
        <w:tc>
          <w:tcPr>
            <w:tcW w:w="10878" w:type="dxa"/>
          </w:tcPr>
          <w:p w:rsidR="00D01012" w:rsidRPr="00A230B9" w:rsidRDefault="00D01012" w:rsidP="009220D5">
            <w:pPr>
              <w:rPr>
                <w:sz w:val="22"/>
              </w:rPr>
            </w:pPr>
            <w:r w:rsidRPr="00A230B9">
              <w:rPr>
                <w:sz w:val="22"/>
              </w:rPr>
              <w:t>In order for an assistance award to be made without competition, the award must satisfy one or more of the following criteria:</w:t>
            </w:r>
          </w:p>
          <w:p w:rsidR="00D01012" w:rsidRPr="00A230B9" w:rsidRDefault="00D01012" w:rsidP="009220D5">
            <w:pPr>
              <w:rPr>
                <w:sz w:val="22"/>
              </w:rPr>
            </w:pPr>
          </w:p>
          <w:p w:rsidR="00D01012" w:rsidRPr="00A230B9" w:rsidRDefault="00D01012" w:rsidP="00F67756">
            <w:pPr>
              <w:numPr>
                <w:ilvl w:val="0"/>
                <w:numId w:val="2"/>
              </w:numPr>
              <w:tabs>
                <w:tab w:val="clear" w:pos="2376"/>
                <w:tab w:val="num" w:pos="720"/>
              </w:tabs>
              <w:ind w:left="720"/>
              <w:rPr>
                <w:sz w:val="22"/>
              </w:rPr>
            </w:pPr>
            <w:r w:rsidRPr="00A230B9">
              <w:rPr>
                <w:sz w:val="22"/>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Pr="00A230B9" w:rsidRDefault="00D01012" w:rsidP="009220D5">
            <w:pPr>
              <w:rPr>
                <w:sz w:val="22"/>
              </w:rPr>
            </w:pPr>
          </w:p>
          <w:p w:rsidR="00D01012" w:rsidRPr="00A230B9" w:rsidRDefault="00D01012" w:rsidP="00F67756">
            <w:pPr>
              <w:numPr>
                <w:ilvl w:val="0"/>
                <w:numId w:val="2"/>
              </w:numPr>
              <w:tabs>
                <w:tab w:val="clear" w:pos="2376"/>
                <w:tab w:val="num" w:pos="720"/>
              </w:tabs>
              <w:ind w:left="720"/>
              <w:rPr>
                <w:sz w:val="22"/>
              </w:rPr>
            </w:pPr>
            <w:r w:rsidRPr="00A230B9">
              <w:rPr>
                <w:sz w:val="22"/>
              </w:rP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Pr="00A230B9" w:rsidRDefault="00D01012" w:rsidP="009220D5">
            <w:pPr>
              <w:rPr>
                <w:sz w:val="22"/>
              </w:rPr>
            </w:pPr>
          </w:p>
          <w:p w:rsidR="00D01012" w:rsidRPr="00A230B9" w:rsidRDefault="00D01012" w:rsidP="00F67756">
            <w:pPr>
              <w:numPr>
                <w:ilvl w:val="0"/>
                <w:numId w:val="2"/>
              </w:numPr>
              <w:tabs>
                <w:tab w:val="clear" w:pos="2376"/>
                <w:tab w:val="num" w:pos="720"/>
              </w:tabs>
              <w:ind w:left="720"/>
              <w:rPr>
                <w:sz w:val="22"/>
              </w:rPr>
            </w:pPr>
            <w:r w:rsidRPr="00A230B9">
              <w:rPr>
                <w:sz w:val="22"/>
              </w:rPr>
              <w:t>Legislative intent – The language in the applicable authorizing legislation or legislative history clearly indicates Congress’ intent to restrict the award to a particular recipient of purpose;</w:t>
            </w:r>
            <w:r w:rsidR="00C31CC6" w:rsidRPr="00A230B9">
              <w:rPr>
                <w:sz w:val="22"/>
              </w:rPr>
              <w:t xml:space="preserve"> </w:t>
            </w:r>
          </w:p>
          <w:p w:rsidR="00D01012" w:rsidRPr="00A230B9" w:rsidRDefault="00D01012" w:rsidP="009220D5">
            <w:pPr>
              <w:rPr>
                <w:sz w:val="22"/>
              </w:rPr>
            </w:pPr>
          </w:p>
          <w:p w:rsidR="00D01012" w:rsidRPr="00A230B9" w:rsidRDefault="00D01012" w:rsidP="00F67756">
            <w:pPr>
              <w:numPr>
                <w:ilvl w:val="0"/>
                <w:numId w:val="2"/>
              </w:numPr>
              <w:tabs>
                <w:tab w:val="clear" w:pos="2376"/>
                <w:tab w:val="num" w:pos="720"/>
              </w:tabs>
              <w:ind w:left="720"/>
              <w:rPr>
                <w:sz w:val="22"/>
              </w:rPr>
            </w:pPr>
            <w:r w:rsidRPr="00A230B9">
              <w:rPr>
                <w:sz w:val="22"/>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Pr="00A230B9" w:rsidRDefault="00D01012" w:rsidP="009220D5">
            <w:pPr>
              <w:rPr>
                <w:sz w:val="22"/>
              </w:rPr>
            </w:pPr>
          </w:p>
          <w:p w:rsidR="00D01012" w:rsidRPr="00DA1FC1" w:rsidRDefault="00D01012" w:rsidP="009220D5">
            <w:pPr>
              <w:numPr>
                <w:ilvl w:val="0"/>
                <w:numId w:val="2"/>
              </w:numPr>
              <w:tabs>
                <w:tab w:val="clear" w:pos="2376"/>
                <w:tab w:val="num" w:pos="720"/>
              </w:tabs>
              <w:ind w:left="720"/>
              <w:rPr>
                <w:sz w:val="22"/>
              </w:rPr>
            </w:pPr>
            <w:r w:rsidRPr="00A230B9">
              <w:rPr>
                <w:sz w:val="22"/>
              </w:rPr>
              <w:t>Emergencies – Program/award where there is insufficient time available (due to a compelling and unusual urgency, or substantial danger to health or safety) for adequate competitive procedures to be followed.</w:t>
            </w:r>
          </w:p>
        </w:tc>
      </w:tr>
    </w:tbl>
    <w:p w:rsidR="00D01012" w:rsidRDefault="00D01012" w:rsidP="00D01012"/>
    <w:p w:rsidR="0018591B" w:rsidRPr="0018591B" w:rsidRDefault="00CE056D" w:rsidP="0018591B">
      <w:pPr>
        <w:rPr>
          <w:b/>
          <w:bCs/>
          <w:sz w:val="22"/>
        </w:rPr>
      </w:pPr>
      <w:r>
        <w:rPr>
          <w:b/>
          <w:bCs/>
          <w:sz w:val="22"/>
        </w:rPr>
        <w:t>BLM</w:t>
      </w:r>
      <w:r w:rsidR="0018591B" w:rsidRPr="0018591B">
        <w:rPr>
          <w:b/>
          <w:bCs/>
          <w:sz w:val="22"/>
        </w:rPr>
        <w:t xml:space="preserve"> did not solicit full and open competition for this award based the following criteria:</w:t>
      </w:r>
    </w:p>
    <w:p w:rsidR="00A230B9" w:rsidRPr="00A230B9" w:rsidRDefault="00A230B9" w:rsidP="00D01012">
      <w:pPr>
        <w:rPr>
          <w:sz w:val="22"/>
        </w:rPr>
      </w:pPr>
    </w:p>
    <w:p w:rsidR="00F762B1" w:rsidRDefault="00F762B1" w:rsidP="00F762B1">
      <w:pPr>
        <w:rPr>
          <w:sz w:val="23"/>
          <w:szCs w:val="23"/>
        </w:rPr>
      </w:pPr>
      <w:r w:rsidRPr="00F762B1">
        <w:t>(4</w:t>
      </w:r>
      <w:r w:rsidR="00F631BE" w:rsidRPr="00F762B1">
        <w:t>)</w:t>
      </w:r>
      <w:r w:rsidRPr="00F762B1">
        <w:t xml:space="preserve"> Unique Qualifications</w:t>
      </w:r>
      <w:r w:rsidR="00F631BE" w:rsidRPr="00F762B1">
        <w:t xml:space="preserve"> </w:t>
      </w:r>
      <w:r>
        <w:t xml:space="preserve">- The State of Alaska Department of Fish and Game, has the responsibility to provide for fish and wildlife habitat improvement or modifications; and </w:t>
      </w:r>
      <w:r w:rsidRPr="006B5457">
        <w:t>provide adequate protection for fish and wildlife officially classified as threatened or endangered</w:t>
      </w:r>
      <w:r>
        <w:t>.  The State has been working on the conducting the Alaska Freshwater Fish Inventory (AFFI) program throughout the State for</w:t>
      </w:r>
      <w:r>
        <w:rPr>
          <w:sz w:val="23"/>
          <w:szCs w:val="23"/>
        </w:rPr>
        <w:t xml:space="preserve"> more than the last two decades.  They are the only entity to do the inventory, manage and maintain the official AFFI database as well as the </w:t>
      </w:r>
      <w:proofErr w:type="spellStart"/>
      <w:r>
        <w:rPr>
          <w:sz w:val="23"/>
          <w:szCs w:val="23"/>
        </w:rPr>
        <w:t>Anadromous</w:t>
      </w:r>
      <w:proofErr w:type="spellEnd"/>
      <w:r>
        <w:rPr>
          <w:sz w:val="23"/>
          <w:szCs w:val="23"/>
        </w:rPr>
        <w:t xml:space="preserve"> Waters Catalog (AWC).</w:t>
      </w:r>
    </w:p>
    <w:p w:rsidR="00F762B1" w:rsidRDefault="00F762B1" w:rsidP="00F762B1"/>
    <w:p w:rsidR="0018591B" w:rsidRDefault="0018591B" w:rsidP="00F631BE">
      <w:pPr>
        <w:pStyle w:val="NoSpacing"/>
        <w:rPr>
          <w:rFonts w:ascii="Times New Roman" w:hAnsi="Times New Roman" w:cs="Times New Roman"/>
          <w:szCs w:val="24"/>
        </w:rPr>
      </w:pPr>
    </w:p>
    <w:p w:rsidR="0018591B" w:rsidRPr="00A230B9" w:rsidRDefault="0018591B" w:rsidP="00F631BE">
      <w:pPr>
        <w:pStyle w:val="NoSpacing"/>
        <w:rPr>
          <w:rFonts w:ascii="Times New Roman" w:hAnsi="Times New Roman" w:cs="Times New Roman"/>
          <w:szCs w:val="24"/>
        </w:rPr>
      </w:pPr>
    </w:p>
    <w:p w:rsidR="00F631BE" w:rsidRPr="00A85818" w:rsidRDefault="00F631BE" w:rsidP="00D01012">
      <w:pPr>
        <w:rPr>
          <w:b/>
          <w:color w:val="002060"/>
        </w:rPr>
      </w:pPr>
    </w:p>
    <w:sectPr w:rsidR="00F631BE" w:rsidRPr="00A85818" w:rsidSect="00910723">
      <w:footerReference w:type="even" r:id="rId11"/>
      <w:footerReference w:type="default" r:id="rId12"/>
      <w:headerReference w:type="first" r:id="rId1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941" w:rsidRDefault="00314941">
      <w:r>
        <w:separator/>
      </w:r>
    </w:p>
  </w:endnote>
  <w:endnote w:type="continuationSeparator" w:id="0">
    <w:p w:rsidR="00314941" w:rsidRDefault="00314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08" w:rsidRDefault="00063167" w:rsidP="006A6155">
    <w:pPr>
      <w:pStyle w:val="Footer"/>
      <w:framePr w:wrap="around" w:vAnchor="text" w:hAnchor="margin" w:xAlign="right" w:y="1"/>
      <w:rPr>
        <w:rStyle w:val="PageNumber"/>
      </w:rPr>
    </w:pPr>
    <w:r>
      <w:rPr>
        <w:rStyle w:val="PageNumber"/>
      </w:rPr>
      <w:fldChar w:fldCharType="begin"/>
    </w:r>
    <w:r w:rsidR="00A02008">
      <w:rPr>
        <w:rStyle w:val="PageNumber"/>
      </w:rPr>
      <w:instrText xml:space="preserve">PAGE  </w:instrText>
    </w:r>
    <w:r>
      <w:rPr>
        <w:rStyle w:val="PageNumber"/>
      </w:rPr>
      <w:fldChar w:fldCharType="end"/>
    </w:r>
  </w:p>
  <w:p w:rsidR="00A02008" w:rsidRDefault="00A02008"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08" w:rsidRDefault="00063167" w:rsidP="006A6155">
    <w:pPr>
      <w:pStyle w:val="Footer"/>
      <w:framePr w:wrap="around" w:vAnchor="text" w:hAnchor="margin" w:xAlign="right" w:y="1"/>
      <w:rPr>
        <w:rStyle w:val="PageNumber"/>
      </w:rPr>
    </w:pPr>
    <w:r>
      <w:rPr>
        <w:rStyle w:val="PageNumber"/>
      </w:rPr>
      <w:fldChar w:fldCharType="begin"/>
    </w:r>
    <w:r w:rsidR="00A02008">
      <w:rPr>
        <w:rStyle w:val="PageNumber"/>
      </w:rPr>
      <w:instrText xml:space="preserve">PAGE  </w:instrText>
    </w:r>
    <w:r>
      <w:rPr>
        <w:rStyle w:val="PageNumber"/>
      </w:rPr>
      <w:fldChar w:fldCharType="separate"/>
    </w:r>
    <w:r w:rsidR="003E3CF6">
      <w:rPr>
        <w:rStyle w:val="PageNumber"/>
        <w:noProof/>
      </w:rPr>
      <w:t>3</w:t>
    </w:r>
    <w:r>
      <w:rPr>
        <w:rStyle w:val="PageNumber"/>
      </w:rPr>
      <w:fldChar w:fldCharType="end"/>
    </w:r>
  </w:p>
  <w:p w:rsidR="00A02008" w:rsidRDefault="00A02008"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941" w:rsidRDefault="00314941">
      <w:r>
        <w:separator/>
      </w:r>
    </w:p>
  </w:footnote>
  <w:footnote w:type="continuationSeparator" w:id="0">
    <w:p w:rsidR="00314941" w:rsidRDefault="003149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56D" w:rsidRPr="00BB6F9E" w:rsidRDefault="00CE056D" w:rsidP="00CE056D">
    <w:pPr>
      <w:tabs>
        <w:tab w:val="left" w:pos="0"/>
      </w:tabs>
      <w:jc w:val="center"/>
      <w:rPr>
        <w:b/>
        <w:color w:val="000000"/>
        <w:kern w:val="16"/>
        <w:sz w:val="28"/>
        <w:szCs w:val="36"/>
      </w:rPr>
    </w:pPr>
    <w:r w:rsidRPr="00D65DF9">
      <w:rPr>
        <w:b/>
        <w:noProof/>
        <w:color w:val="000000"/>
        <w:kern w:val="16"/>
        <w:szCs w:val="36"/>
      </w:rPr>
      <w:drawing>
        <wp:anchor distT="0" distB="0" distL="114300" distR="114300" simplePos="0" relativeHeight="251659264" behindDoc="0" locked="0" layoutInCell="1" allowOverlap="1" wp14:anchorId="2C68BA9E" wp14:editId="48CC0F7F">
          <wp:simplePos x="0" y="0"/>
          <wp:positionH relativeFrom="margin">
            <wp:posOffset>6175375</wp:posOffset>
          </wp:positionH>
          <wp:positionV relativeFrom="margin">
            <wp:posOffset>-685800</wp:posOffset>
          </wp:positionV>
          <wp:extent cx="615950" cy="548640"/>
          <wp:effectExtent l="0" t="0" r="0" b="381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aved Stuff\BLM Logos, Maps, Style Guides\BLM Logo (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595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5DF9">
      <w:rPr>
        <w:b/>
        <w:noProof/>
        <w:color w:val="000000"/>
        <w:kern w:val="16"/>
        <w:sz w:val="22"/>
        <w:szCs w:val="20"/>
      </w:rPr>
      <w:drawing>
        <wp:anchor distT="0" distB="0" distL="114300" distR="114300" simplePos="0" relativeHeight="251660288" behindDoc="0" locked="0" layoutInCell="1" allowOverlap="1" wp14:anchorId="3F39975A" wp14:editId="1F7025D9">
          <wp:simplePos x="0" y="0"/>
          <wp:positionH relativeFrom="column">
            <wp:posOffset>0</wp:posOffset>
          </wp:positionH>
          <wp:positionV relativeFrom="paragraph">
            <wp:posOffset>3810</wp:posOffset>
          </wp:positionV>
          <wp:extent cx="633413" cy="640080"/>
          <wp:effectExtent l="0" t="0" r="0" b="7620"/>
          <wp:wrapNone/>
          <wp:docPr id="2" name="Picture 2" descr="U:\Saved Stuff\BLM Logos, Maps, Style Guides\do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aved Stuff\BLM Logos, Maps, Style Guides\doi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33413"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5DF9">
      <w:rPr>
        <w:b/>
        <w:color w:val="000000"/>
        <w:kern w:val="16"/>
        <w:szCs w:val="36"/>
      </w:rPr>
      <w:t>United States Department of the Interior</w:t>
    </w:r>
  </w:p>
  <w:p w:rsidR="00CE056D" w:rsidRPr="00BB6F9E" w:rsidRDefault="00CE056D" w:rsidP="00CE056D">
    <w:pPr>
      <w:jc w:val="center"/>
      <w:rPr>
        <w:color w:val="000000"/>
        <w:kern w:val="16"/>
        <w:sz w:val="22"/>
        <w:szCs w:val="20"/>
      </w:rPr>
    </w:pPr>
    <w:r w:rsidRPr="00BB6F9E">
      <w:rPr>
        <w:color w:val="000000"/>
        <w:kern w:val="16"/>
        <w:sz w:val="22"/>
        <w:szCs w:val="20"/>
      </w:rPr>
      <w:t>BUREAU OF LAND MANAGEMENT</w:t>
    </w:r>
  </w:p>
  <w:p w:rsidR="00CE056D" w:rsidRPr="00BB6F9E" w:rsidRDefault="00CE056D" w:rsidP="00CE056D">
    <w:pPr>
      <w:jc w:val="center"/>
      <w:rPr>
        <w:color w:val="000000"/>
        <w:kern w:val="16"/>
        <w:szCs w:val="20"/>
      </w:rPr>
    </w:pPr>
    <w:r w:rsidRPr="00BB6F9E">
      <w:rPr>
        <w:color w:val="000000"/>
        <w:kern w:val="16"/>
        <w:szCs w:val="20"/>
      </w:rPr>
      <w:t>Financial Assistance</w:t>
    </w:r>
  </w:p>
  <w:p w:rsidR="00910723" w:rsidRPr="00CE056D" w:rsidRDefault="00910723" w:rsidP="00CE05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83620"/>
    <w:multiLevelType w:val="hybridMultilevel"/>
    <w:tmpl w:val="FD461674"/>
    <w:lvl w:ilvl="0" w:tplc="A768CDAC">
      <w:start w:val="1"/>
      <w:numFmt w:val="decimal"/>
      <w:lvlText w:val="(%1)"/>
      <w:lvlJc w:val="left"/>
      <w:pPr>
        <w:tabs>
          <w:tab w:val="num" w:pos="1836"/>
        </w:tabs>
        <w:ind w:left="1836" w:hanging="396"/>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
    <w:nsid w:val="28EE799F"/>
    <w:multiLevelType w:val="hybridMultilevel"/>
    <w:tmpl w:val="C7D26A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D5012AB"/>
    <w:multiLevelType w:val="hybridMultilevel"/>
    <w:tmpl w:val="E99E16FE"/>
    <w:lvl w:ilvl="0" w:tplc="5FFEEAF8">
      <w:start w:val="1"/>
      <w:numFmt w:val="decimal"/>
      <w:lvlText w:val="%1."/>
      <w:lvlJc w:val="left"/>
      <w:pPr>
        <w:ind w:left="2136" w:hanging="360"/>
      </w:pPr>
      <w:rPr>
        <w:b w:val="0"/>
      </w:rPr>
    </w:lvl>
    <w:lvl w:ilvl="1" w:tplc="04090019">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4">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6A0B"/>
    <w:rsid w:val="0003592B"/>
    <w:rsid w:val="00035E8C"/>
    <w:rsid w:val="00044572"/>
    <w:rsid w:val="00063167"/>
    <w:rsid w:val="00095AE9"/>
    <w:rsid w:val="000A1AB1"/>
    <w:rsid w:val="000A20E1"/>
    <w:rsid w:val="000B24E9"/>
    <w:rsid w:val="00116490"/>
    <w:rsid w:val="00123F87"/>
    <w:rsid w:val="00141FD9"/>
    <w:rsid w:val="00163425"/>
    <w:rsid w:val="0018591B"/>
    <w:rsid w:val="001E3B3C"/>
    <w:rsid w:val="00211C60"/>
    <w:rsid w:val="0022150F"/>
    <w:rsid w:val="00233AA3"/>
    <w:rsid w:val="00272B32"/>
    <w:rsid w:val="00292841"/>
    <w:rsid w:val="0029744F"/>
    <w:rsid w:val="002B1A1D"/>
    <w:rsid w:val="002C100F"/>
    <w:rsid w:val="002D2682"/>
    <w:rsid w:val="00314941"/>
    <w:rsid w:val="00322E0B"/>
    <w:rsid w:val="00350940"/>
    <w:rsid w:val="0035243B"/>
    <w:rsid w:val="00361059"/>
    <w:rsid w:val="00361EA5"/>
    <w:rsid w:val="003B5F5F"/>
    <w:rsid w:val="003D2508"/>
    <w:rsid w:val="003E3CF6"/>
    <w:rsid w:val="00455D30"/>
    <w:rsid w:val="00461F2D"/>
    <w:rsid w:val="00462699"/>
    <w:rsid w:val="004870D8"/>
    <w:rsid w:val="00494E5C"/>
    <w:rsid w:val="004B637D"/>
    <w:rsid w:val="004D7E3F"/>
    <w:rsid w:val="004F0530"/>
    <w:rsid w:val="00501084"/>
    <w:rsid w:val="00524310"/>
    <w:rsid w:val="0054171E"/>
    <w:rsid w:val="00574857"/>
    <w:rsid w:val="00576215"/>
    <w:rsid w:val="00577331"/>
    <w:rsid w:val="005820D4"/>
    <w:rsid w:val="005A2C2E"/>
    <w:rsid w:val="005C13D2"/>
    <w:rsid w:val="005C5E43"/>
    <w:rsid w:val="00610D6B"/>
    <w:rsid w:val="00613C7D"/>
    <w:rsid w:val="006144F1"/>
    <w:rsid w:val="00646ABF"/>
    <w:rsid w:val="00665544"/>
    <w:rsid w:val="00677F7F"/>
    <w:rsid w:val="006859A3"/>
    <w:rsid w:val="006A055E"/>
    <w:rsid w:val="006A3BA9"/>
    <w:rsid w:val="006A6155"/>
    <w:rsid w:val="006A714F"/>
    <w:rsid w:val="006C3610"/>
    <w:rsid w:val="006C49AF"/>
    <w:rsid w:val="006E21BA"/>
    <w:rsid w:val="00722A20"/>
    <w:rsid w:val="00725034"/>
    <w:rsid w:val="00752CB8"/>
    <w:rsid w:val="00764E67"/>
    <w:rsid w:val="007A4AB5"/>
    <w:rsid w:val="007B6E64"/>
    <w:rsid w:val="007C0B64"/>
    <w:rsid w:val="007D642E"/>
    <w:rsid w:val="00817232"/>
    <w:rsid w:val="00821254"/>
    <w:rsid w:val="008236AC"/>
    <w:rsid w:val="00827B6A"/>
    <w:rsid w:val="00831C6B"/>
    <w:rsid w:val="008A0621"/>
    <w:rsid w:val="008B08A0"/>
    <w:rsid w:val="008D4221"/>
    <w:rsid w:val="00910723"/>
    <w:rsid w:val="009220D5"/>
    <w:rsid w:val="00990F0A"/>
    <w:rsid w:val="009A096A"/>
    <w:rsid w:val="009A45E7"/>
    <w:rsid w:val="009C0972"/>
    <w:rsid w:val="009C35DB"/>
    <w:rsid w:val="009D375B"/>
    <w:rsid w:val="00A02008"/>
    <w:rsid w:val="00A12E34"/>
    <w:rsid w:val="00A230B9"/>
    <w:rsid w:val="00A85818"/>
    <w:rsid w:val="00A92172"/>
    <w:rsid w:val="00AB3959"/>
    <w:rsid w:val="00AC651F"/>
    <w:rsid w:val="00AD789D"/>
    <w:rsid w:val="00AF645E"/>
    <w:rsid w:val="00B028DE"/>
    <w:rsid w:val="00B9131D"/>
    <w:rsid w:val="00BA4C33"/>
    <w:rsid w:val="00BB102F"/>
    <w:rsid w:val="00C12B36"/>
    <w:rsid w:val="00C27C2F"/>
    <w:rsid w:val="00C31CC6"/>
    <w:rsid w:val="00C37CC7"/>
    <w:rsid w:val="00C45320"/>
    <w:rsid w:val="00C67B92"/>
    <w:rsid w:val="00C928F2"/>
    <w:rsid w:val="00CB2D20"/>
    <w:rsid w:val="00CC57A9"/>
    <w:rsid w:val="00CD01E4"/>
    <w:rsid w:val="00CE056D"/>
    <w:rsid w:val="00CE38E1"/>
    <w:rsid w:val="00CE640F"/>
    <w:rsid w:val="00CF6541"/>
    <w:rsid w:val="00D01012"/>
    <w:rsid w:val="00D04D8B"/>
    <w:rsid w:val="00D05434"/>
    <w:rsid w:val="00D35092"/>
    <w:rsid w:val="00D36CB9"/>
    <w:rsid w:val="00D7090B"/>
    <w:rsid w:val="00D71227"/>
    <w:rsid w:val="00D96871"/>
    <w:rsid w:val="00DA01A3"/>
    <w:rsid w:val="00DA1FC1"/>
    <w:rsid w:val="00E06259"/>
    <w:rsid w:val="00E32C72"/>
    <w:rsid w:val="00E45407"/>
    <w:rsid w:val="00E72A98"/>
    <w:rsid w:val="00EA0374"/>
    <w:rsid w:val="00EA5513"/>
    <w:rsid w:val="00EA5E01"/>
    <w:rsid w:val="00EB25BB"/>
    <w:rsid w:val="00EB71BE"/>
    <w:rsid w:val="00EB790F"/>
    <w:rsid w:val="00F064C9"/>
    <w:rsid w:val="00F631BE"/>
    <w:rsid w:val="00F649EE"/>
    <w:rsid w:val="00F67756"/>
    <w:rsid w:val="00F743DF"/>
    <w:rsid w:val="00F762B1"/>
    <w:rsid w:val="00F87B73"/>
    <w:rsid w:val="00FB032F"/>
    <w:rsid w:val="00FF3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61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styleId="FootnoteText">
    <w:name w:val="footnote text"/>
    <w:basedOn w:val="Normal"/>
    <w:link w:val="FootnoteTextChar"/>
    <w:rsid w:val="00292841"/>
    <w:rPr>
      <w:sz w:val="20"/>
      <w:szCs w:val="20"/>
    </w:rPr>
  </w:style>
  <w:style w:type="character" w:customStyle="1" w:styleId="FootnoteTextChar">
    <w:name w:val="Footnote Text Char"/>
    <w:basedOn w:val="DefaultParagraphFont"/>
    <w:link w:val="FootnoteText"/>
    <w:rsid w:val="00292841"/>
  </w:style>
  <w:style w:type="character" w:styleId="FootnoteReference">
    <w:name w:val="footnote reference"/>
    <w:basedOn w:val="DefaultParagraphFont"/>
    <w:rsid w:val="00292841"/>
    <w:rPr>
      <w:vertAlign w:val="superscript"/>
    </w:rPr>
  </w:style>
  <w:style w:type="paragraph" w:styleId="NormalWeb">
    <w:name w:val="Normal (Web)"/>
    <w:basedOn w:val="Normal"/>
    <w:uiPriority w:val="99"/>
    <w:unhideWhenUsed/>
    <w:rsid w:val="005C13D2"/>
    <w:pPr>
      <w:spacing w:before="100" w:beforeAutospacing="1" w:after="100" w:afterAutospacing="1"/>
    </w:pPr>
    <w:rPr>
      <w:rFonts w:eastAsiaTheme="minorEastAsia"/>
    </w:rPr>
  </w:style>
  <w:style w:type="paragraph" w:styleId="NoSpacing">
    <w:name w:val="No Spacing"/>
    <w:uiPriority w:val="1"/>
    <w:qFormat/>
    <w:rsid w:val="00F631BE"/>
    <w:rPr>
      <w:rFonts w:asciiTheme="minorHAnsi" w:eastAsiaTheme="minorHAnsi" w:hAnsiTheme="minorHAnsi" w:cstheme="minorBidi"/>
      <w:sz w:val="22"/>
      <w:szCs w:val="22"/>
    </w:rPr>
  </w:style>
  <w:style w:type="paragraph" w:styleId="Header">
    <w:name w:val="header"/>
    <w:basedOn w:val="Normal"/>
    <w:link w:val="HeaderChar"/>
    <w:rsid w:val="00910723"/>
    <w:pPr>
      <w:tabs>
        <w:tab w:val="center" w:pos="4680"/>
        <w:tab w:val="right" w:pos="9360"/>
      </w:tabs>
    </w:pPr>
  </w:style>
  <w:style w:type="character" w:customStyle="1" w:styleId="HeaderChar">
    <w:name w:val="Header Char"/>
    <w:basedOn w:val="DefaultParagraphFont"/>
    <w:link w:val="Header"/>
    <w:rsid w:val="00910723"/>
    <w:rPr>
      <w:sz w:val="24"/>
      <w:szCs w:val="24"/>
    </w:rPr>
  </w:style>
  <w:style w:type="paragraph" w:styleId="ListParagraph">
    <w:name w:val="List Paragraph"/>
    <w:basedOn w:val="Normal"/>
    <w:uiPriority w:val="34"/>
    <w:qFormat/>
    <w:rsid w:val="00D96871"/>
    <w:pPr>
      <w:widowControl w:val="0"/>
      <w:autoSpaceDE w:val="0"/>
      <w:autoSpaceDN w:val="0"/>
      <w:adjustRightInd w:val="0"/>
      <w:ind w:left="720"/>
      <w:contextualSpacing/>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61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styleId="FootnoteText">
    <w:name w:val="footnote text"/>
    <w:basedOn w:val="Normal"/>
    <w:link w:val="FootnoteTextChar"/>
    <w:rsid w:val="00292841"/>
    <w:rPr>
      <w:sz w:val="20"/>
      <w:szCs w:val="20"/>
    </w:rPr>
  </w:style>
  <w:style w:type="character" w:customStyle="1" w:styleId="FootnoteTextChar">
    <w:name w:val="Footnote Text Char"/>
    <w:basedOn w:val="DefaultParagraphFont"/>
    <w:link w:val="FootnoteText"/>
    <w:rsid w:val="00292841"/>
  </w:style>
  <w:style w:type="character" w:styleId="FootnoteReference">
    <w:name w:val="footnote reference"/>
    <w:basedOn w:val="DefaultParagraphFont"/>
    <w:rsid w:val="00292841"/>
    <w:rPr>
      <w:vertAlign w:val="superscript"/>
    </w:rPr>
  </w:style>
  <w:style w:type="paragraph" w:styleId="NormalWeb">
    <w:name w:val="Normal (Web)"/>
    <w:basedOn w:val="Normal"/>
    <w:uiPriority w:val="99"/>
    <w:unhideWhenUsed/>
    <w:rsid w:val="005C13D2"/>
    <w:pPr>
      <w:spacing w:before="100" w:beforeAutospacing="1" w:after="100" w:afterAutospacing="1"/>
    </w:pPr>
    <w:rPr>
      <w:rFonts w:eastAsiaTheme="minorEastAsia"/>
    </w:rPr>
  </w:style>
  <w:style w:type="paragraph" w:styleId="NoSpacing">
    <w:name w:val="No Spacing"/>
    <w:uiPriority w:val="1"/>
    <w:qFormat/>
    <w:rsid w:val="00F631BE"/>
    <w:rPr>
      <w:rFonts w:asciiTheme="minorHAnsi" w:eastAsiaTheme="minorHAnsi" w:hAnsiTheme="minorHAnsi" w:cstheme="minorBidi"/>
      <w:sz w:val="22"/>
      <w:szCs w:val="22"/>
    </w:rPr>
  </w:style>
  <w:style w:type="paragraph" w:styleId="Header">
    <w:name w:val="header"/>
    <w:basedOn w:val="Normal"/>
    <w:link w:val="HeaderChar"/>
    <w:rsid w:val="00910723"/>
    <w:pPr>
      <w:tabs>
        <w:tab w:val="center" w:pos="4680"/>
        <w:tab w:val="right" w:pos="9360"/>
      </w:tabs>
    </w:pPr>
  </w:style>
  <w:style w:type="character" w:customStyle="1" w:styleId="HeaderChar">
    <w:name w:val="Header Char"/>
    <w:basedOn w:val="DefaultParagraphFont"/>
    <w:link w:val="Header"/>
    <w:rsid w:val="00910723"/>
    <w:rPr>
      <w:sz w:val="24"/>
      <w:szCs w:val="24"/>
    </w:rPr>
  </w:style>
  <w:style w:type="paragraph" w:styleId="ListParagraph">
    <w:name w:val="List Paragraph"/>
    <w:basedOn w:val="Normal"/>
    <w:uiPriority w:val="34"/>
    <w:qFormat/>
    <w:rsid w:val="00D96871"/>
    <w:pPr>
      <w:widowControl w:val="0"/>
      <w:autoSpaceDE w:val="0"/>
      <w:autoSpaceDN w:val="0"/>
      <w:adjustRightInd w:val="0"/>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29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5B7DF734-6E51-4B5E-94C2-E1B519A6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1038</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Lockard, Betty J</cp:lastModifiedBy>
  <cp:revision>4</cp:revision>
  <cp:lastPrinted>2010-08-31T14:23:00Z</cp:lastPrinted>
  <dcterms:created xsi:type="dcterms:W3CDTF">2016-05-23T18:52:00Z</dcterms:created>
  <dcterms:modified xsi:type="dcterms:W3CDTF">2016-05-25T17:25:00Z</dcterms:modified>
</cp:coreProperties>
</file>