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3E027C" w:rsidP="00BE05E8">
            <w:r w:rsidRPr="003E027C">
              <w:t>P14AS00100</w:t>
            </w:r>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D065D2" w:rsidP="00D065D2">
            <w:r>
              <w:t>Water quality monitoring through the National Park Service Vital Signs Program.</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044EEE" w:rsidP="008C74A6">
            <w:r>
              <w:t>University of Tennessee-Knoxville</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044EEE" w:rsidRDefault="00044EEE" w:rsidP="00044EEE">
            <w:r>
              <w:t xml:space="preserve">John S. Schwartz, </w:t>
            </w:r>
            <w:proofErr w:type="spellStart"/>
            <w:r>
              <w:t>Ph.D.,P.E</w:t>
            </w:r>
            <w:proofErr w:type="spellEnd"/>
            <w:r>
              <w:t>.</w:t>
            </w:r>
            <w:r w:rsidR="005D6616">
              <w:t xml:space="preserve">, </w:t>
            </w:r>
            <w:r>
              <w:t>Associate Professor</w:t>
            </w:r>
          </w:p>
          <w:p w:rsidR="00044EEE" w:rsidRDefault="00044EEE" w:rsidP="00044EEE">
            <w:r>
              <w:t>The University of Tennessee</w:t>
            </w:r>
          </w:p>
          <w:p w:rsidR="00044EEE" w:rsidRDefault="00044EEE" w:rsidP="00044EEE">
            <w:r>
              <w:t>Dept. of Civil &amp; Environmental Engineering</w:t>
            </w:r>
          </w:p>
          <w:p w:rsidR="00044EEE" w:rsidRDefault="00044EEE" w:rsidP="00044EEE">
            <w:r>
              <w:t>Knoxville, TN  37996-2010</w:t>
            </w:r>
          </w:p>
          <w:p w:rsidR="00044EEE" w:rsidRDefault="00044EEE" w:rsidP="00044EEE">
            <w:r>
              <w:t>Phone:  865-974-7721</w:t>
            </w:r>
          </w:p>
          <w:p w:rsidR="00A2008C" w:rsidRPr="00D04D8B" w:rsidRDefault="00044EEE" w:rsidP="009220D5">
            <w:r>
              <w:t xml:space="preserve">Email:  </w:t>
            </w:r>
            <w:hyperlink r:id="rId10" w:history="1">
              <w:r w:rsidRPr="008344B4">
                <w:rPr>
                  <w:rStyle w:val="Hyperlink"/>
                </w:rPr>
                <w:t>jschwart@utk.edu</w:t>
              </w:r>
            </w:hyperlink>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233758">
              <w:t>170</w:t>
            </w:r>
            <w:r w:rsidR="00044EEE">
              <w:t>,000 ($85,000 in FY14)</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32152D" w:rsidP="004C7194">
            <w:r w:rsidRPr="0032152D">
              <w:t>June 18, 2014 to June 17, 201</w:t>
            </w:r>
            <w:r w:rsidR="00015C65">
              <w:t>6</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32152D">
            <w:r>
              <w:t xml:space="preserve">About </w:t>
            </w:r>
            <w:r w:rsidR="0032152D">
              <w:t>5 years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32152D">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497688" w:rsidP="00C12B36">
      <w:pPr>
        <w:jc w:val="center"/>
        <w:outlineLvl w:val="0"/>
        <w:rPr>
          <w:b/>
        </w:rPr>
      </w:pPr>
      <w:r>
        <w:rPr>
          <w:b/>
        </w:rPr>
        <w:lastRenderedPageBreak/>
        <w:t xml:space="preserve"> PROJECT </w:t>
      </w:r>
      <w:r w:rsidR="00A2008C">
        <w:rPr>
          <w:b/>
        </w:rPr>
        <w:t>OVERVIEW</w:t>
      </w:r>
    </w:p>
    <w:p w:rsidR="00A2008C" w:rsidRPr="005964C3" w:rsidRDefault="00A2008C" w:rsidP="005964C3"/>
    <w:p w:rsidR="0032152D" w:rsidRPr="0032152D" w:rsidRDefault="0032152D" w:rsidP="0032152D">
      <w:pPr>
        <w:widowControl w:val="0"/>
        <w:autoSpaceDE w:val="0"/>
        <w:autoSpaceDN w:val="0"/>
        <w:adjustRightInd w:val="0"/>
      </w:pPr>
      <w:r w:rsidRPr="0032152D">
        <w:rPr>
          <w:b/>
        </w:rPr>
        <w:t>A. Project Objectives</w:t>
      </w:r>
      <w:r w:rsidRPr="0032152D">
        <w:t xml:space="preserve">: </w:t>
      </w:r>
    </w:p>
    <w:p w:rsidR="0032152D" w:rsidRPr="0032152D" w:rsidRDefault="0032152D" w:rsidP="0032152D">
      <w:pPr>
        <w:widowControl w:val="0"/>
        <w:autoSpaceDE w:val="0"/>
        <w:autoSpaceDN w:val="0"/>
        <w:adjustRightInd w:val="0"/>
      </w:pPr>
      <w:r w:rsidRPr="0032152D">
        <w:t>Project objectives include supporting the NPS Vital Signs Program through continued, long-term water quality monitoring with the GRSM’s Vital Signs sel</w:t>
      </w:r>
      <w:bookmarkStart w:id="0" w:name="_GoBack"/>
      <w:bookmarkEnd w:id="0"/>
      <w:r w:rsidRPr="0032152D">
        <w:t xml:space="preserve">ected watersheds, continued long-term investigation of the effects of acidic deposition on water quality and aquatic biota through better understanding the fate and transport of these pollutants from air through soil to the streams; and characterization of natural biogeochemical processes to better assess risks to natural systems from acidic deposition.  </w:t>
      </w:r>
    </w:p>
    <w:p w:rsidR="0032152D" w:rsidRPr="0032152D" w:rsidRDefault="0032152D" w:rsidP="0032152D">
      <w:pPr>
        <w:widowControl w:val="0"/>
        <w:autoSpaceDE w:val="0"/>
        <w:autoSpaceDN w:val="0"/>
        <w:adjustRightInd w:val="0"/>
      </w:pPr>
    </w:p>
    <w:p w:rsidR="0032152D" w:rsidRPr="0032152D" w:rsidRDefault="0032152D" w:rsidP="0032152D">
      <w:pPr>
        <w:widowControl w:val="0"/>
        <w:autoSpaceDE w:val="0"/>
        <w:autoSpaceDN w:val="0"/>
        <w:adjustRightInd w:val="0"/>
      </w:pPr>
      <w:r w:rsidRPr="0032152D">
        <w:rPr>
          <w:b/>
        </w:rPr>
        <w:t xml:space="preserve">B. Project Tasks: </w:t>
      </w:r>
    </w:p>
    <w:p w:rsidR="0032152D" w:rsidRPr="0032152D" w:rsidRDefault="0032152D" w:rsidP="0032152D">
      <w:pPr>
        <w:widowControl w:val="0"/>
        <w:autoSpaceDE w:val="0"/>
        <w:autoSpaceDN w:val="0"/>
        <w:adjustRightInd w:val="0"/>
      </w:pPr>
      <w:proofErr w:type="gramStart"/>
      <w:r w:rsidRPr="0032152D">
        <w:rPr>
          <w:b/>
        </w:rPr>
        <w:t>Task 1.</w:t>
      </w:r>
      <w:proofErr w:type="gramEnd"/>
      <w:r w:rsidRPr="0032152D">
        <w:t xml:space="preserve">  Continue Park-wide water quality monitoring through the collection of samples at 28 sites every other month specified by the Park’s vital signs (VS) monitoring program; and an additional 10 sites (twice per year) in the Hazel Creek watershed (site locations are attached in the original scope of work).  Water sample analyses to be performed include: pH, ANC, conductivity, major anions and </w:t>
      </w:r>
      <w:proofErr w:type="spellStart"/>
      <w:r w:rsidRPr="0032152D">
        <w:t>cations</w:t>
      </w:r>
      <w:proofErr w:type="spellEnd"/>
      <w:r w:rsidRPr="0032152D">
        <w:t xml:space="preserve">, aluminum, copper, iron, and manganese. </w:t>
      </w:r>
    </w:p>
    <w:p w:rsidR="0032152D" w:rsidRPr="0032152D" w:rsidRDefault="0032152D" w:rsidP="0032152D">
      <w:pPr>
        <w:widowControl w:val="0"/>
        <w:autoSpaceDE w:val="0"/>
        <w:autoSpaceDN w:val="0"/>
        <w:adjustRightInd w:val="0"/>
        <w:rPr>
          <w:b/>
        </w:rPr>
      </w:pPr>
      <w:proofErr w:type="gramStart"/>
      <w:r w:rsidRPr="0032152D">
        <w:rPr>
          <w:b/>
        </w:rPr>
        <w:t>Task 2.</w:t>
      </w:r>
      <w:proofErr w:type="gramEnd"/>
      <w:r w:rsidRPr="0032152D">
        <w:t xml:space="preserve">  Continue water quality monitoring at the Noland Divide watershed site.  Bi-weekly stream monitoring activities, weather and road conditions permitting, include: 1) collection of hydrological data from the H-flumes by downloading data from the stage recorder units, 2) collection of water quality data (pH, temperature, conductivity) from </w:t>
      </w:r>
      <w:proofErr w:type="spellStart"/>
      <w:r w:rsidRPr="0032152D">
        <w:t>sonde</w:t>
      </w:r>
      <w:proofErr w:type="spellEnd"/>
      <w:r w:rsidRPr="0032152D">
        <w:t xml:space="preserve"> units; 3) performing calibration and general maintenance procedures on stage recorder and </w:t>
      </w:r>
      <w:proofErr w:type="spellStart"/>
      <w:r w:rsidRPr="0032152D">
        <w:t>sonde</w:t>
      </w:r>
      <w:proofErr w:type="spellEnd"/>
      <w:r w:rsidRPr="0032152D">
        <w:t xml:space="preserve"> units, and 4) stream grab samples.  Bi-weekly water samples will be analyzed for pH, ANC, conductivity, anions, </w:t>
      </w:r>
      <w:proofErr w:type="spellStart"/>
      <w:r w:rsidRPr="0032152D">
        <w:t>cations</w:t>
      </w:r>
      <w:proofErr w:type="spellEnd"/>
      <w:r w:rsidRPr="0032152D">
        <w:t xml:space="preserve">, aluminum, copper, iron and manganese. </w:t>
      </w:r>
    </w:p>
    <w:p w:rsidR="0032152D" w:rsidRPr="0032152D" w:rsidRDefault="0032152D" w:rsidP="0032152D">
      <w:pPr>
        <w:widowControl w:val="0"/>
        <w:autoSpaceDE w:val="0"/>
        <w:autoSpaceDN w:val="0"/>
        <w:adjustRightInd w:val="0"/>
      </w:pPr>
      <w:proofErr w:type="gramStart"/>
      <w:r w:rsidRPr="0032152D">
        <w:rPr>
          <w:b/>
        </w:rPr>
        <w:t>Task 3.</w:t>
      </w:r>
      <w:proofErr w:type="gramEnd"/>
      <w:r w:rsidRPr="0032152D">
        <w:t xml:space="preserve">  Continue long-term monitoring of wet precipitation volume, and deposition data in the Noland Divide watershed site through the collection of bi-weekly samples.  This includes the collection of composite </w:t>
      </w:r>
      <w:proofErr w:type="spellStart"/>
      <w:r w:rsidRPr="0032152D">
        <w:t>throughfall</w:t>
      </w:r>
      <w:proofErr w:type="spellEnd"/>
      <w:r w:rsidRPr="0032152D">
        <w:t xml:space="preserve"> volume and deposition data from ten collectors during warm weather months, and two open through fall buckets during cold weather.  Sample analyses to be performed include sample volume, anions, </w:t>
      </w:r>
      <w:proofErr w:type="spellStart"/>
      <w:r w:rsidRPr="0032152D">
        <w:t>cations</w:t>
      </w:r>
      <w:proofErr w:type="spellEnd"/>
      <w:r w:rsidRPr="0032152D">
        <w:t>, pH, and conductivity.  Perform calibration and general maintenance procedures on precipitation cover triggered and tipping bucket collection device.</w:t>
      </w:r>
    </w:p>
    <w:p w:rsidR="0032152D" w:rsidRPr="0032152D" w:rsidRDefault="0032152D" w:rsidP="0032152D">
      <w:pPr>
        <w:widowControl w:val="0"/>
        <w:autoSpaceDE w:val="0"/>
        <w:autoSpaceDN w:val="0"/>
        <w:adjustRightInd w:val="0"/>
      </w:pPr>
      <w:proofErr w:type="gramStart"/>
      <w:r w:rsidRPr="0032152D">
        <w:rPr>
          <w:b/>
        </w:rPr>
        <w:t>Task 4.</w:t>
      </w:r>
      <w:proofErr w:type="gramEnd"/>
      <w:r w:rsidRPr="0032152D">
        <w:t xml:space="preserve">  Collect and analyze monthly soil </w:t>
      </w:r>
      <w:proofErr w:type="spellStart"/>
      <w:r w:rsidRPr="0032152D">
        <w:t>lysimeter</w:t>
      </w:r>
      <w:proofErr w:type="spellEnd"/>
      <w:r w:rsidRPr="0032152D">
        <w:t xml:space="preserve"> samples from three soil horizons (A, </w:t>
      </w:r>
      <w:proofErr w:type="spellStart"/>
      <w:r w:rsidRPr="0032152D">
        <w:t>Bw</w:t>
      </w:r>
      <w:proofErr w:type="spellEnd"/>
      <w:r w:rsidRPr="0032152D">
        <w:t xml:space="preserve"> &amp; </w:t>
      </w:r>
      <w:proofErr w:type="spellStart"/>
      <w:r w:rsidRPr="0032152D">
        <w:t>Cb</w:t>
      </w:r>
      <w:proofErr w:type="spellEnd"/>
      <w:r w:rsidRPr="0032152D">
        <w:t xml:space="preserve"> horizons) in the Noland Divide watershed study site (3 </w:t>
      </w:r>
      <w:proofErr w:type="spellStart"/>
      <w:r w:rsidRPr="0032152D">
        <w:t>lysimeters</w:t>
      </w:r>
      <w:proofErr w:type="spellEnd"/>
      <w:r w:rsidRPr="0032152D">
        <w:t xml:space="preserve"> per horizon = 9 total </w:t>
      </w:r>
      <w:proofErr w:type="spellStart"/>
      <w:r w:rsidRPr="0032152D">
        <w:t>lysimeter</w:t>
      </w:r>
      <w:proofErr w:type="spellEnd"/>
      <w:r w:rsidRPr="0032152D">
        <w:t xml:space="preserve"> samples per monthly collection).  Perform general maintenance procedures on the pump vacuum system.  Summarize water volumes per </w:t>
      </w:r>
      <w:proofErr w:type="spellStart"/>
      <w:r w:rsidRPr="0032152D">
        <w:t>lyismeter</w:t>
      </w:r>
      <w:proofErr w:type="spellEnd"/>
      <w:r w:rsidRPr="0032152D">
        <w:t xml:space="preserve">, collect water, and analyze chemistry of soil water for pH, ANC, conductivity, anions, </w:t>
      </w:r>
      <w:proofErr w:type="spellStart"/>
      <w:r w:rsidRPr="0032152D">
        <w:t>cations</w:t>
      </w:r>
      <w:proofErr w:type="spellEnd"/>
      <w:r w:rsidRPr="0032152D">
        <w:t xml:space="preserve">, aluminum, copper, iron and manganese.  </w:t>
      </w:r>
    </w:p>
    <w:p w:rsidR="0032152D" w:rsidRPr="0032152D" w:rsidRDefault="0032152D" w:rsidP="0032152D">
      <w:pPr>
        <w:widowControl w:val="0"/>
        <w:autoSpaceDE w:val="0"/>
        <w:autoSpaceDN w:val="0"/>
        <w:adjustRightInd w:val="0"/>
      </w:pPr>
      <w:proofErr w:type="gramStart"/>
      <w:r w:rsidRPr="0032152D">
        <w:rPr>
          <w:b/>
        </w:rPr>
        <w:t>Task 5.</w:t>
      </w:r>
      <w:proofErr w:type="gramEnd"/>
      <w:r w:rsidRPr="0032152D">
        <w:t xml:space="preserve">  Submit a summary analysis report for the water quality samples for the 28 sites collected every other month, the 10 Hazel Creek sites, and all Noland Divide monitoring data during 2014 is due May 31,</w:t>
      </w:r>
      <w:r w:rsidRPr="0032152D">
        <w:rPr>
          <w:b/>
        </w:rPr>
        <w:t xml:space="preserve"> </w:t>
      </w:r>
      <w:r w:rsidRPr="0032152D">
        <w:t>2015</w:t>
      </w:r>
      <w:r w:rsidRPr="0032152D">
        <w:rPr>
          <w:b/>
        </w:rPr>
        <w:t>.</w:t>
      </w:r>
      <w:r w:rsidRPr="0032152D">
        <w:t xml:space="preserve">  All data collected are to be QA/</w:t>
      </w:r>
      <w:proofErr w:type="spellStart"/>
      <w:r w:rsidRPr="0032152D">
        <w:t>QC’ed</w:t>
      </w:r>
      <w:proofErr w:type="spellEnd"/>
      <w:r w:rsidRPr="0032152D">
        <w:t>.  The report should be in the NPS National Resource Data Series Format (NRDS) (</w:t>
      </w:r>
      <w:hyperlink r:id="rId11" w:history="1">
        <w:r w:rsidRPr="0032152D">
          <w:rPr>
            <w:color w:val="0000FF"/>
            <w:u w:val="single"/>
          </w:rPr>
          <w:t>http://www.nature.nps.gov/publications/nrpm/nrds.cfm</w:t>
        </w:r>
      </w:hyperlink>
      <w:r w:rsidRPr="0032152D">
        <w:t xml:space="preserve">).  This report should include but is not limited to: annual data completeness, seasonal variation, potential effects of significant natural events like droughts and floods; and a general assessment of long-term trends.  </w:t>
      </w:r>
    </w:p>
    <w:p w:rsidR="0032152D" w:rsidRPr="0032152D" w:rsidRDefault="0032152D" w:rsidP="0032152D">
      <w:pPr>
        <w:widowControl w:val="0"/>
        <w:autoSpaceDE w:val="0"/>
        <w:autoSpaceDN w:val="0"/>
        <w:adjustRightInd w:val="0"/>
      </w:pPr>
      <w:proofErr w:type="gramStart"/>
      <w:r w:rsidRPr="0032152D">
        <w:rPr>
          <w:b/>
        </w:rPr>
        <w:t>Task 6.</w:t>
      </w:r>
      <w:proofErr w:type="gramEnd"/>
      <w:r w:rsidRPr="0032152D">
        <w:t xml:space="preserve">  Data from Tasks 1 - 5 must be entered into the NPSTORET.  Raw and final data and all metadata associated with dissertation or thesis projects (i.e. non-spatial or biological data) must also be entered into NPSTORET and/or other approved NPS databases.  Maps and spatial data </w:t>
      </w:r>
      <w:r w:rsidRPr="0032152D">
        <w:lastRenderedPageBreak/>
        <w:t xml:space="preserve">must be submitted as ArcGIS layers, including metadata, to the Park's GIS specialist and conform to Park file structure standards. </w:t>
      </w:r>
    </w:p>
    <w:p w:rsidR="0032152D" w:rsidRPr="0032152D" w:rsidRDefault="0032152D" w:rsidP="0032152D">
      <w:pPr>
        <w:widowControl w:val="0"/>
        <w:autoSpaceDE w:val="0"/>
        <w:autoSpaceDN w:val="0"/>
        <w:adjustRightInd w:val="0"/>
      </w:pPr>
      <w:proofErr w:type="gramStart"/>
      <w:r w:rsidRPr="0032152D">
        <w:rPr>
          <w:b/>
        </w:rPr>
        <w:t>Task 7.</w:t>
      </w:r>
      <w:proofErr w:type="gramEnd"/>
      <w:r w:rsidRPr="0032152D">
        <w:rPr>
          <w:b/>
        </w:rPr>
        <w:t xml:space="preserve"> </w:t>
      </w:r>
      <w:r w:rsidRPr="0032152D">
        <w:t>Summarize</w:t>
      </w:r>
      <w:r w:rsidRPr="0032152D">
        <w:rPr>
          <w:b/>
        </w:rPr>
        <w:t xml:space="preserve"> </w:t>
      </w:r>
      <w:r w:rsidRPr="0032152D">
        <w:t xml:space="preserve">water quality monitoring protocols into the Oakley </w:t>
      </w:r>
      <w:r w:rsidRPr="0032152D">
        <w:rPr>
          <w:i/>
        </w:rPr>
        <w:t>et al.</w:t>
      </w:r>
      <w:r w:rsidRPr="0032152D">
        <w:t xml:space="preserve"> 2003 long term monitoring protocols format (attached).  Protocols should include background and objectives, sampling design, site selection, revisit design, field and laboratory Standard operating procedures (SOP’s), data management, data analysis and reporting and roles and responsibilities. </w:t>
      </w:r>
      <w:proofErr w:type="gramStart"/>
      <w:r w:rsidRPr="0032152D">
        <w:t>Draft of final protocols due May 1, 2015.</w:t>
      </w:r>
      <w:proofErr w:type="gramEnd"/>
    </w:p>
    <w:p w:rsidR="0032152D" w:rsidRPr="0032152D" w:rsidRDefault="0032152D" w:rsidP="0032152D">
      <w:pPr>
        <w:widowControl w:val="0"/>
        <w:autoSpaceDE w:val="0"/>
        <w:autoSpaceDN w:val="0"/>
        <w:adjustRightInd w:val="0"/>
      </w:pPr>
      <w:proofErr w:type="gramStart"/>
      <w:r w:rsidRPr="0032152D">
        <w:rPr>
          <w:b/>
        </w:rPr>
        <w:t>Task 8.</w:t>
      </w:r>
      <w:proofErr w:type="gramEnd"/>
      <w:r w:rsidRPr="0032152D">
        <w:rPr>
          <w:b/>
        </w:rPr>
        <w:t xml:space="preserve">   </w:t>
      </w:r>
      <w:r w:rsidRPr="0032152D">
        <w:t>A sulfate soil desorption study will be initiated examining chemical factors that lead to sulfate detachment from soil particles using bench-scale batch tests; low- and high-elevation soils will be examined with sites selected by GRSM resource staff in Vital Signs watersheds.  The study design, progress to date and data collection for 2015 will be summarized in the annual monitoring report submitted to the GRSM due May 31, 2014.</w:t>
      </w:r>
    </w:p>
    <w:p w:rsidR="0032152D" w:rsidRPr="0032152D" w:rsidRDefault="0032152D" w:rsidP="0032152D">
      <w:pPr>
        <w:widowControl w:val="0"/>
        <w:autoSpaceDE w:val="0"/>
        <w:autoSpaceDN w:val="0"/>
        <w:adjustRightInd w:val="0"/>
        <w:ind w:left="360"/>
      </w:pPr>
    </w:p>
    <w:p w:rsidR="0032152D" w:rsidRPr="0032152D" w:rsidRDefault="0032152D" w:rsidP="0032152D">
      <w:pPr>
        <w:widowControl w:val="0"/>
        <w:autoSpaceDE w:val="0"/>
        <w:autoSpaceDN w:val="0"/>
        <w:adjustRightInd w:val="0"/>
      </w:pPr>
      <w:r w:rsidRPr="0032152D">
        <w:rPr>
          <w:b/>
        </w:rPr>
        <w:t xml:space="preserve">C. Project Products: </w:t>
      </w:r>
      <w:r w:rsidRPr="0032152D">
        <w:t xml:space="preserve"> </w:t>
      </w:r>
    </w:p>
    <w:p w:rsidR="0032152D" w:rsidRPr="0032152D" w:rsidRDefault="0032152D" w:rsidP="0032152D">
      <w:pPr>
        <w:widowControl w:val="0"/>
        <w:autoSpaceDE w:val="0"/>
        <w:autoSpaceDN w:val="0"/>
        <w:adjustRightInd w:val="0"/>
        <w:rPr>
          <w:b/>
          <w:bCs/>
        </w:rPr>
      </w:pPr>
      <w:r w:rsidRPr="0032152D">
        <w:t>As stated in Task 5, submit a summary analysis report for the water quality samples for the 28 sites collected every other month, the 10 Hazel Creek sites, and all Noland Divide monitoring data during 2014 is due May 31,</w:t>
      </w:r>
      <w:r w:rsidRPr="0032152D">
        <w:rPr>
          <w:b/>
        </w:rPr>
        <w:t xml:space="preserve"> </w:t>
      </w:r>
      <w:r w:rsidRPr="0032152D">
        <w:t>2015</w:t>
      </w:r>
      <w:r w:rsidRPr="0032152D">
        <w:rPr>
          <w:b/>
        </w:rPr>
        <w:t>.</w:t>
      </w:r>
      <w:r w:rsidRPr="0032152D">
        <w:t xml:space="preserve">  All data collected are to be QA/</w:t>
      </w:r>
      <w:proofErr w:type="spellStart"/>
      <w:r w:rsidRPr="0032152D">
        <w:t>QC’ed</w:t>
      </w:r>
      <w:proofErr w:type="spellEnd"/>
      <w:r w:rsidRPr="0032152D">
        <w:t>.  The report should be in the NPS National Resource Data Series Format (NRDS) (</w:t>
      </w:r>
      <w:hyperlink r:id="rId12" w:history="1">
        <w:r w:rsidRPr="0032152D">
          <w:rPr>
            <w:color w:val="0000FF"/>
            <w:u w:val="single"/>
          </w:rPr>
          <w:t>http://www.nature.nps.gov/publications/nrpm/nrds.cfm</w:t>
        </w:r>
      </w:hyperlink>
      <w:r w:rsidRPr="0032152D">
        <w:t>).  This report should include but is not limited to: annual data completeness, seasonal variation, potential effects of significant natural events like droughts and floods; and a general assessment of long-term trends</w:t>
      </w:r>
    </w:p>
    <w:p w:rsidR="0032152D" w:rsidRPr="0032152D" w:rsidRDefault="0032152D" w:rsidP="0032152D">
      <w:pPr>
        <w:widowControl w:val="0"/>
        <w:autoSpaceDE w:val="0"/>
        <w:autoSpaceDN w:val="0"/>
        <w:adjustRightInd w:val="0"/>
        <w:rPr>
          <w:b/>
          <w:bCs/>
        </w:rPr>
      </w:pPr>
      <w:r w:rsidRPr="0032152D">
        <w:t>As stated in Task 7, summarize</w:t>
      </w:r>
      <w:r w:rsidRPr="0032152D">
        <w:rPr>
          <w:b/>
        </w:rPr>
        <w:t xml:space="preserve"> </w:t>
      </w:r>
      <w:r w:rsidRPr="0032152D">
        <w:t xml:space="preserve">water quality monitoring protocols into the Oakley </w:t>
      </w:r>
      <w:r w:rsidRPr="0032152D">
        <w:rPr>
          <w:i/>
        </w:rPr>
        <w:t>et al.</w:t>
      </w:r>
      <w:r w:rsidRPr="0032152D">
        <w:t xml:space="preserve"> 2003 long term monitoring protocols format (attached).  Protocols should include background and objectives, sampling design, site selection, revisit design, field and laboratory Standard operating procedures (SOP’s), data management, data analysis and reporting and roles and responsibilities</w:t>
      </w:r>
    </w:p>
    <w:p w:rsidR="0032152D" w:rsidRPr="0032152D" w:rsidRDefault="0032152D" w:rsidP="0032152D">
      <w:pPr>
        <w:widowControl w:val="0"/>
        <w:autoSpaceDE w:val="0"/>
        <w:autoSpaceDN w:val="0"/>
        <w:adjustRightInd w:val="0"/>
      </w:pPr>
    </w:p>
    <w:p w:rsidR="0032152D" w:rsidRPr="0032152D" w:rsidRDefault="0032152D" w:rsidP="0032152D">
      <w:pPr>
        <w:widowControl w:val="0"/>
        <w:autoSpaceDE w:val="0"/>
        <w:autoSpaceDN w:val="0"/>
        <w:adjustRightInd w:val="0"/>
      </w:pPr>
    </w:p>
    <w:p w:rsidR="0032152D" w:rsidRPr="0032152D" w:rsidRDefault="0032152D" w:rsidP="0032152D">
      <w:pPr>
        <w:widowControl w:val="0"/>
        <w:autoSpaceDE w:val="0"/>
        <w:autoSpaceDN w:val="0"/>
        <w:adjustRightInd w:val="0"/>
      </w:pPr>
      <w:r w:rsidRPr="0032152D">
        <w:rPr>
          <w:b/>
        </w:rPr>
        <w:t xml:space="preserve">D. Project Schedule: </w:t>
      </w:r>
      <w:r w:rsidRPr="0032152D">
        <w:t xml:space="preserve"> </w:t>
      </w:r>
    </w:p>
    <w:p w:rsidR="0032152D" w:rsidRPr="0032152D" w:rsidRDefault="0032152D" w:rsidP="0032152D">
      <w:pPr>
        <w:widowControl w:val="0"/>
        <w:autoSpaceDE w:val="0"/>
        <w:autoSpaceDN w:val="0"/>
        <w:adjustRightInd w:val="0"/>
        <w:ind w:left="720"/>
      </w:pPr>
      <w:r w:rsidRPr="0032152D">
        <w:t>Period of performance shall be from June 18, 2014 to June 17, 2019</w:t>
      </w:r>
    </w:p>
    <w:p w:rsidR="0032152D" w:rsidRPr="0032152D" w:rsidRDefault="0032152D" w:rsidP="0032152D">
      <w:pPr>
        <w:widowControl w:val="0"/>
        <w:autoSpaceDE w:val="0"/>
        <w:autoSpaceDN w:val="0"/>
        <w:adjustRightInd w:val="0"/>
        <w:ind w:left="360"/>
        <w:contextualSpacing/>
      </w:pPr>
    </w:p>
    <w:tbl>
      <w:tblPr>
        <w:tblStyle w:val="TableGrid1"/>
        <w:tblW w:w="9558" w:type="dxa"/>
        <w:tblLayout w:type="fixed"/>
        <w:tblLook w:val="04A0" w:firstRow="1" w:lastRow="0" w:firstColumn="1" w:lastColumn="0" w:noHBand="0" w:noVBand="1"/>
      </w:tblPr>
      <w:tblGrid>
        <w:gridCol w:w="918"/>
        <w:gridCol w:w="720"/>
        <w:gridCol w:w="720"/>
        <w:gridCol w:w="720"/>
        <w:gridCol w:w="720"/>
        <w:gridCol w:w="720"/>
        <w:gridCol w:w="720"/>
        <w:gridCol w:w="720"/>
        <w:gridCol w:w="720"/>
        <w:gridCol w:w="720"/>
        <w:gridCol w:w="720"/>
        <w:gridCol w:w="720"/>
        <w:gridCol w:w="720"/>
      </w:tblGrid>
      <w:tr w:rsidR="0032152D" w:rsidRPr="0032152D" w:rsidTr="00D065D2">
        <w:tc>
          <w:tcPr>
            <w:tcW w:w="918" w:type="dxa"/>
            <w:vMerge w:val="restart"/>
            <w:tcBorders>
              <w:right w:val="single" w:sz="12" w:space="0" w:color="auto"/>
            </w:tcBorders>
            <w:vAlign w:val="bottom"/>
          </w:tcPr>
          <w:p w:rsidR="0032152D" w:rsidRPr="0032152D" w:rsidRDefault="0032152D" w:rsidP="0032152D">
            <w:pPr>
              <w:tabs>
                <w:tab w:val="left" w:pos="0"/>
              </w:tabs>
              <w:rPr>
                <w:rFonts w:ascii="Arial" w:hAnsi="Arial"/>
                <w:b/>
                <w:bCs/>
                <w:color w:val="000000"/>
                <w:sz w:val="20"/>
              </w:rPr>
            </w:pPr>
            <w:r w:rsidRPr="0032152D">
              <w:rPr>
                <w:rFonts w:ascii="Arial" w:hAnsi="Arial"/>
                <w:b/>
                <w:bCs/>
                <w:color w:val="000000"/>
                <w:sz w:val="20"/>
              </w:rPr>
              <w:t>TASK</w:t>
            </w:r>
          </w:p>
        </w:tc>
        <w:tc>
          <w:tcPr>
            <w:tcW w:w="8640" w:type="dxa"/>
            <w:gridSpan w:val="12"/>
            <w:tcBorders>
              <w:left w:val="single" w:sz="12" w:space="0" w:color="auto"/>
            </w:tcBorders>
          </w:tcPr>
          <w:p w:rsidR="0032152D" w:rsidRPr="0032152D" w:rsidRDefault="0032152D" w:rsidP="0032152D">
            <w:pPr>
              <w:tabs>
                <w:tab w:val="left" w:pos="0"/>
              </w:tabs>
              <w:jc w:val="center"/>
              <w:rPr>
                <w:rFonts w:ascii="Arial" w:hAnsi="Arial"/>
                <w:bCs/>
                <w:color w:val="000000"/>
                <w:sz w:val="20"/>
              </w:rPr>
            </w:pPr>
            <w:r w:rsidRPr="0032152D">
              <w:rPr>
                <w:rFonts w:ascii="Arial" w:hAnsi="Arial"/>
                <w:b/>
                <w:bCs/>
                <w:color w:val="000000"/>
                <w:sz w:val="20"/>
              </w:rPr>
              <w:t xml:space="preserve">Month </w:t>
            </w:r>
            <w:r w:rsidRPr="0032152D">
              <w:rPr>
                <w:rFonts w:ascii="Arial" w:hAnsi="Arial"/>
                <w:bCs/>
                <w:color w:val="000000"/>
                <w:sz w:val="20"/>
              </w:rPr>
              <w:t>(</w:t>
            </w:r>
            <w:r w:rsidRPr="0032152D">
              <w:rPr>
                <w:rFonts w:ascii="Arial" w:hAnsi="Arial"/>
                <w:bCs/>
                <w:i/>
                <w:color w:val="000000"/>
                <w:sz w:val="20"/>
              </w:rPr>
              <w:t>Modification 2 Tasks start June 18, 2014 and end June 17, 2015</w:t>
            </w:r>
            <w:r w:rsidRPr="0032152D">
              <w:rPr>
                <w:rFonts w:ascii="Arial" w:hAnsi="Arial"/>
                <w:bCs/>
                <w:color w:val="000000"/>
                <w:sz w:val="20"/>
              </w:rPr>
              <w:t>)</w:t>
            </w:r>
          </w:p>
        </w:tc>
      </w:tr>
      <w:tr w:rsidR="0032152D" w:rsidRPr="0032152D" w:rsidTr="00D065D2">
        <w:tc>
          <w:tcPr>
            <w:tcW w:w="918" w:type="dxa"/>
            <w:vMerge/>
            <w:tcBorders>
              <w:bottom w:val="single" w:sz="12" w:space="0" w:color="auto"/>
              <w:right w:val="single" w:sz="12" w:space="0" w:color="auto"/>
            </w:tcBorders>
          </w:tcPr>
          <w:p w:rsidR="0032152D" w:rsidRPr="0032152D" w:rsidRDefault="0032152D" w:rsidP="0032152D">
            <w:pPr>
              <w:tabs>
                <w:tab w:val="left" w:pos="0"/>
              </w:tabs>
              <w:rPr>
                <w:rFonts w:ascii="Arial" w:hAnsi="Arial"/>
                <w:b/>
                <w:bCs/>
                <w:color w:val="000000"/>
                <w:sz w:val="20"/>
              </w:rPr>
            </w:pPr>
          </w:p>
        </w:tc>
        <w:tc>
          <w:tcPr>
            <w:tcW w:w="720" w:type="dxa"/>
            <w:tcBorders>
              <w:left w:val="single" w:sz="12" w:space="0" w:color="auto"/>
              <w:bottom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Jul</w:t>
            </w:r>
          </w:p>
        </w:tc>
        <w:tc>
          <w:tcPr>
            <w:tcW w:w="720" w:type="dxa"/>
            <w:tcBorders>
              <w:bottom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Aug</w:t>
            </w:r>
          </w:p>
        </w:tc>
        <w:tc>
          <w:tcPr>
            <w:tcW w:w="720" w:type="dxa"/>
            <w:tcBorders>
              <w:bottom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Sept</w:t>
            </w:r>
          </w:p>
        </w:tc>
        <w:tc>
          <w:tcPr>
            <w:tcW w:w="720" w:type="dxa"/>
            <w:tcBorders>
              <w:bottom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Oct</w:t>
            </w:r>
          </w:p>
        </w:tc>
        <w:tc>
          <w:tcPr>
            <w:tcW w:w="720" w:type="dxa"/>
            <w:tcBorders>
              <w:bottom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Nov</w:t>
            </w:r>
          </w:p>
        </w:tc>
        <w:tc>
          <w:tcPr>
            <w:tcW w:w="720" w:type="dxa"/>
            <w:tcBorders>
              <w:bottom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Dec</w:t>
            </w:r>
          </w:p>
        </w:tc>
        <w:tc>
          <w:tcPr>
            <w:tcW w:w="720" w:type="dxa"/>
            <w:tcBorders>
              <w:bottom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Jan</w:t>
            </w:r>
          </w:p>
        </w:tc>
        <w:tc>
          <w:tcPr>
            <w:tcW w:w="720" w:type="dxa"/>
            <w:tcBorders>
              <w:bottom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Feb</w:t>
            </w:r>
          </w:p>
        </w:tc>
        <w:tc>
          <w:tcPr>
            <w:tcW w:w="720" w:type="dxa"/>
            <w:tcBorders>
              <w:bottom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Mar</w:t>
            </w:r>
          </w:p>
        </w:tc>
        <w:tc>
          <w:tcPr>
            <w:tcW w:w="720" w:type="dxa"/>
            <w:tcBorders>
              <w:bottom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Apr</w:t>
            </w:r>
          </w:p>
        </w:tc>
        <w:tc>
          <w:tcPr>
            <w:tcW w:w="720" w:type="dxa"/>
            <w:tcBorders>
              <w:bottom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May</w:t>
            </w:r>
          </w:p>
        </w:tc>
        <w:tc>
          <w:tcPr>
            <w:tcW w:w="720" w:type="dxa"/>
            <w:tcBorders>
              <w:bottom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Jun</w:t>
            </w:r>
          </w:p>
        </w:tc>
      </w:tr>
      <w:tr w:rsidR="0032152D" w:rsidRPr="0032152D" w:rsidTr="00D065D2">
        <w:tc>
          <w:tcPr>
            <w:tcW w:w="918" w:type="dxa"/>
            <w:tcBorders>
              <w:top w:val="single" w:sz="12" w:space="0" w:color="auto"/>
              <w:right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1</w:t>
            </w:r>
          </w:p>
        </w:tc>
        <w:tc>
          <w:tcPr>
            <w:tcW w:w="720" w:type="dxa"/>
            <w:tcBorders>
              <w:top w:val="single" w:sz="12" w:space="0" w:color="auto"/>
              <w:left w:val="single" w:sz="12" w:space="0" w:color="auto"/>
            </w:tcBorders>
            <w:shd w:val="clear" w:color="auto" w:fill="BFBFBF" w:themeFill="background1" w:themeFillShade="BF"/>
          </w:tcPr>
          <w:p w:rsidR="0032152D" w:rsidRPr="0032152D" w:rsidRDefault="0032152D" w:rsidP="0032152D">
            <w:pPr>
              <w:tabs>
                <w:tab w:val="left" w:pos="0"/>
              </w:tabs>
              <w:rPr>
                <w:rFonts w:ascii="Arial" w:hAnsi="Arial"/>
                <w:bCs/>
                <w:color w:val="000000"/>
                <w:sz w:val="20"/>
              </w:rPr>
            </w:pPr>
            <w:r w:rsidRPr="0032152D">
              <w:rPr>
                <w:rFonts w:ascii="Arial" w:hAnsi="Arial"/>
                <w:bCs/>
                <w:color w:val="000000"/>
                <w:sz w:val="20"/>
              </w:rPr>
              <w:t xml:space="preserve"> </w:t>
            </w:r>
          </w:p>
        </w:tc>
        <w:tc>
          <w:tcPr>
            <w:tcW w:w="720" w:type="dxa"/>
            <w:tcBorders>
              <w:top w:val="single" w:sz="12" w:space="0" w:color="auto"/>
            </w:tcBorders>
          </w:tcPr>
          <w:p w:rsidR="0032152D" w:rsidRPr="0032152D" w:rsidRDefault="0032152D" w:rsidP="0032152D">
            <w:pPr>
              <w:tabs>
                <w:tab w:val="left" w:pos="0"/>
              </w:tabs>
              <w:rPr>
                <w:rFonts w:ascii="Arial" w:hAnsi="Arial"/>
                <w:bCs/>
                <w:color w:val="000000"/>
                <w:sz w:val="20"/>
              </w:rPr>
            </w:pPr>
          </w:p>
        </w:tc>
        <w:tc>
          <w:tcPr>
            <w:tcW w:w="720" w:type="dxa"/>
            <w:tcBorders>
              <w:top w:val="single" w:sz="12" w:space="0" w:color="auto"/>
            </w:tcBorders>
            <w:shd w:val="clear" w:color="auto" w:fill="BFBFBF" w:themeFill="background1" w:themeFillShade="BF"/>
          </w:tcPr>
          <w:p w:rsidR="0032152D" w:rsidRPr="0032152D" w:rsidRDefault="0032152D" w:rsidP="0032152D">
            <w:pPr>
              <w:tabs>
                <w:tab w:val="left" w:pos="0"/>
              </w:tabs>
              <w:rPr>
                <w:rFonts w:ascii="Arial" w:hAnsi="Arial"/>
                <w:bCs/>
                <w:color w:val="000000"/>
                <w:sz w:val="20"/>
              </w:rPr>
            </w:pPr>
            <w:r w:rsidRPr="0032152D">
              <w:rPr>
                <w:rFonts w:ascii="Arial" w:hAnsi="Arial"/>
                <w:bCs/>
                <w:color w:val="000000"/>
                <w:sz w:val="20"/>
              </w:rPr>
              <w:t xml:space="preserve"> </w:t>
            </w:r>
          </w:p>
        </w:tc>
        <w:tc>
          <w:tcPr>
            <w:tcW w:w="720" w:type="dxa"/>
            <w:tcBorders>
              <w:top w:val="single" w:sz="12" w:space="0" w:color="auto"/>
            </w:tcBorders>
          </w:tcPr>
          <w:p w:rsidR="0032152D" w:rsidRPr="0032152D" w:rsidRDefault="0032152D" w:rsidP="0032152D">
            <w:pPr>
              <w:tabs>
                <w:tab w:val="left" w:pos="0"/>
              </w:tabs>
              <w:rPr>
                <w:rFonts w:ascii="Arial" w:hAnsi="Arial"/>
                <w:bCs/>
                <w:color w:val="000000"/>
                <w:sz w:val="20"/>
              </w:rPr>
            </w:pPr>
          </w:p>
        </w:tc>
        <w:tc>
          <w:tcPr>
            <w:tcW w:w="720" w:type="dxa"/>
            <w:tcBorders>
              <w:top w:val="single" w:sz="12" w:space="0" w:color="auto"/>
            </w:tcBorders>
            <w:shd w:val="clear" w:color="auto" w:fill="BFBFBF" w:themeFill="background1" w:themeFillShade="BF"/>
          </w:tcPr>
          <w:p w:rsidR="0032152D" w:rsidRPr="0032152D" w:rsidRDefault="0032152D" w:rsidP="0032152D">
            <w:pPr>
              <w:tabs>
                <w:tab w:val="left" w:pos="0"/>
              </w:tabs>
              <w:rPr>
                <w:rFonts w:ascii="Arial" w:hAnsi="Arial"/>
                <w:bCs/>
                <w:color w:val="000000"/>
                <w:sz w:val="20"/>
              </w:rPr>
            </w:pPr>
            <w:r w:rsidRPr="0032152D">
              <w:rPr>
                <w:rFonts w:ascii="Arial" w:hAnsi="Arial"/>
                <w:bCs/>
                <w:color w:val="000000"/>
                <w:sz w:val="20"/>
              </w:rPr>
              <w:t xml:space="preserve"> </w:t>
            </w:r>
          </w:p>
        </w:tc>
        <w:tc>
          <w:tcPr>
            <w:tcW w:w="720" w:type="dxa"/>
            <w:tcBorders>
              <w:top w:val="single" w:sz="12" w:space="0" w:color="auto"/>
            </w:tcBorders>
          </w:tcPr>
          <w:p w:rsidR="0032152D" w:rsidRPr="0032152D" w:rsidRDefault="0032152D" w:rsidP="0032152D">
            <w:pPr>
              <w:tabs>
                <w:tab w:val="left" w:pos="0"/>
              </w:tabs>
              <w:rPr>
                <w:rFonts w:ascii="Arial" w:hAnsi="Arial"/>
                <w:bCs/>
                <w:color w:val="000000"/>
                <w:sz w:val="20"/>
              </w:rPr>
            </w:pPr>
          </w:p>
        </w:tc>
        <w:tc>
          <w:tcPr>
            <w:tcW w:w="720" w:type="dxa"/>
            <w:tcBorders>
              <w:top w:val="single" w:sz="12" w:space="0" w:color="auto"/>
            </w:tcBorders>
            <w:shd w:val="clear" w:color="auto" w:fill="BFBFBF" w:themeFill="background1" w:themeFillShade="BF"/>
          </w:tcPr>
          <w:p w:rsidR="0032152D" w:rsidRPr="0032152D" w:rsidRDefault="0032152D" w:rsidP="0032152D">
            <w:pPr>
              <w:tabs>
                <w:tab w:val="left" w:pos="0"/>
              </w:tabs>
              <w:rPr>
                <w:rFonts w:ascii="Arial" w:hAnsi="Arial"/>
                <w:bCs/>
                <w:color w:val="000000"/>
                <w:sz w:val="20"/>
              </w:rPr>
            </w:pPr>
            <w:r w:rsidRPr="0032152D">
              <w:rPr>
                <w:rFonts w:ascii="Arial" w:hAnsi="Arial"/>
                <w:bCs/>
                <w:color w:val="000000"/>
                <w:sz w:val="20"/>
              </w:rPr>
              <w:t xml:space="preserve"> </w:t>
            </w:r>
          </w:p>
        </w:tc>
        <w:tc>
          <w:tcPr>
            <w:tcW w:w="720" w:type="dxa"/>
            <w:tcBorders>
              <w:top w:val="single" w:sz="12" w:space="0" w:color="auto"/>
            </w:tcBorders>
          </w:tcPr>
          <w:p w:rsidR="0032152D" w:rsidRPr="0032152D" w:rsidRDefault="0032152D" w:rsidP="0032152D">
            <w:pPr>
              <w:tabs>
                <w:tab w:val="left" w:pos="0"/>
              </w:tabs>
              <w:rPr>
                <w:rFonts w:ascii="Arial" w:hAnsi="Arial"/>
                <w:bCs/>
                <w:color w:val="000000"/>
                <w:sz w:val="20"/>
              </w:rPr>
            </w:pPr>
          </w:p>
        </w:tc>
        <w:tc>
          <w:tcPr>
            <w:tcW w:w="720" w:type="dxa"/>
            <w:tcBorders>
              <w:top w:val="single" w:sz="12" w:space="0" w:color="auto"/>
            </w:tcBorders>
            <w:shd w:val="clear" w:color="auto" w:fill="BFBFBF" w:themeFill="background1" w:themeFillShade="BF"/>
          </w:tcPr>
          <w:p w:rsidR="0032152D" w:rsidRPr="0032152D" w:rsidRDefault="0032152D" w:rsidP="0032152D">
            <w:pPr>
              <w:tabs>
                <w:tab w:val="left" w:pos="0"/>
              </w:tabs>
              <w:rPr>
                <w:rFonts w:ascii="Arial" w:hAnsi="Arial"/>
                <w:bCs/>
                <w:color w:val="000000"/>
                <w:sz w:val="20"/>
              </w:rPr>
            </w:pPr>
            <w:r w:rsidRPr="0032152D">
              <w:rPr>
                <w:rFonts w:ascii="Arial" w:hAnsi="Arial"/>
                <w:bCs/>
                <w:color w:val="000000"/>
                <w:sz w:val="20"/>
              </w:rPr>
              <w:t xml:space="preserve"> </w:t>
            </w:r>
          </w:p>
        </w:tc>
        <w:tc>
          <w:tcPr>
            <w:tcW w:w="720" w:type="dxa"/>
            <w:tcBorders>
              <w:top w:val="single" w:sz="12" w:space="0" w:color="auto"/>
            </w:tcBorders>
          </w:tcPr>
          <w:p w:rsidR="0032152D" w:rsidRPr="0032152D" w:rsidRDefault="0032152D" w:rsidP="0032152D">
            <w:pPr>
              <w:tabs>
                <w:tab w:val="left" w:pos="0"/>
              </w:tabs>
              <w:rPr>
                <w:rFonts w:ascii="Arial" w:hAnsi="Arial"/>
                <w:bCs/>
                <w:color w:val="000000"/>
                <w:sz w:val="20"/>
              </w:rPr>
            </w:pPr>
          </w:p>
        </w:tc>
        <w:tc>
          <w:tcPr>
            <w:tcW w:w="720" w:type="dxa"/>
            <w:tcBorders>
              <w:top w:val="single" w:sz="12" w:space="0" w:color="auto"/>
            </w:tcBorders>
            <w:shd w:val="clear" w:color="auto" w:fill="BFBFBF" w:themeFill="background1" w:themeFillShade="BF"/>
          </w:tcPr>
          <w:p w:rsidR="0032152D" w:rsidRPr="0032152D" w:rsidRDefault="0032152D" w:rsidP="0032152D">
            <w:pPr>
              <w:tabs>
                <w:tab w:val="left" w:pos="0"/>
              </w:tabs>
              <w:rPr>
                <w:rFonts w:ascii="Arial" w:hAnsi="Arial"/>
                <w:bCs/>
                <w:color w:val="000000"/>
                <w:sz w:val="20"/>
              </w:rPr>
            </w:pPr>
            <w:r w:rsidRPr="0032152D">
              <w:rPr>
                <w:rFonts w:ascii="Arial" w:hAnsi="Arial"/>
                <w:bCs/>
                <w:color w:val="000000"/>
                <w:sz w:val="20"/>
              </w:rPr>
              <w:t xml:space="preserve"> </w:t>
            </w:r>
          </w:p>
        </w:tc>
        <w:tc>
          <w:tcPr>
            <w:tcW w:w="720" w:type="dxa"/>
            <w:tcBorders>
              <w:top w:val="single" w:sz="12" w:space="0" w:color="auto"/>
            </w:tcBorders>
          </w:tcPr>
          <w:p w:rsidR="0032152D" w:rsidRPr="0032152D" w:rsidRDefault="0032152D" w:rsidP="0032152D">
            <w:pPr>
              <w:tabs>
                <w:tab w:val="left" w:pos="0"/>
              </w:tabs>
              <w:rPr>
                <w:rFonts w:ascii="Arial" w:hAnsi="Arial"/>
                <w:bCs/>
                <w:color w:val="000000"/>
                <w:sz w:val="20"/>
              </w:rPr>
            </w:pPr>
          </w:p>
        </w:tc>
      </w:tr>
      <w:tr w:rsidR="0032152D" w:rsidRPr="0032152D" w:rsidTr="00D065D2">
        <w:tc>
          <w:tcPr>
            <w:tcW w:w="918" w:type="dxa"/>
            <w:tcBorders>
              <w:right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2</w:t>
            </w:r>
          </w:p>
        </w:tc>
        <w:tc>
          <w:tcPr>
            <w:tcW w:w="720" w:type="dxa"/>
            <w:tcBorders>
              <w:left w:val="single" w:sz="12" w:space="0" w:color="auto"/>
            </w:tcBorders>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r>
      <w:tr w:rsidR="0032152D" w:rsidRPr="0032152D" w:rsidTr="00D065D2">
        <w:tc>
          <w:tcPr>
            <w:tcW w:w="918" w:type="dxa"/>
            <w:tcBorders>
              <w:right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3</w:t>
            </w:r>
          </w:p>
        </w:tc>
        <w:tc>
          <w:tcPr>
            <w:tcW w:w="720" w:type="dxa"/>
            <w:tcBorders>
              <w:left w:val="single" w:sz="12" w:space="0" w:color="auto"/>
            </w:tcBorders>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r>
      <w:tr w:rsidR="0032152D" w:rsidRPr="0032152D" w:rsidTr="00D065D2">
        <w:tc>
          <w:tcPr>
            <w:tcW w:w="918" w:type="dxa"/>
            <w:tcBorders>
              <w:right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4</w:t>
            </w:r>
          </w:p>
        </w:tc>
        <w:tc>
          <w:tcPr>
            <w:tcW w:w="720" w:type="dxa"/>
            <w:tcBorders>
              <w:left w:val="single" w:sz="12" w:space="0" w:color="auto"/>
            </w:tcBorders>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tcBorders>
              <w:bottom w:val="single" w:sz="4" w:space="0" w:color="auto"/>
            </w:tcBorders>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tcBorders>
              <w:bottom w:val="single" w:sz="4" w:space="0" w:color="auto"/>
            </w:tcBorders>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r>
      <w:tr w:rsidR="0032152D" w:rsidRPr="0032152D" w:rsidTr="00D065D2">
        <w:tc>
          <w:tcPr>
            <w:tcW w:w="918" w:type="dxa"/>
            <w:tcBorders>
              <w:right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5</w:t>
            </w:r>
          </w:p>
        </w:tc>
        <w:tc>
          <w:tcPr>
            <w:tcW w:w="720" w:type="dxa"/>
            <w:tcBorders>
              <w:left w:val="single" w:sz="12" w:space="0" w:color="auto"/>
            </w:tcBorders>
          </w:tcPr>
          <w:p w:rsidR="0032152D" w:rsidRPr="0032152D" w:rsidRDefault="0032152D" w:rsidP="0032152D">
            <w:pPr>
              <w:tabs>
                <w:tab w:val="left" w:pos="0"/>
              </w:tabs>
              <w:rPr>
                <w:rFonts w:ascii="Arial" w:hAnsi="Arial"/>
                <w:bCs/>
                <w:color w:val="000000"/>
                <w:sz w:val="20"/>
              </w:rPr>
            </w:pPr>
          </w:p>
        </w:tc>
        <w:tc>
          <w:tcPr>
            <w:tcW w:w="720" w:type="dxa"/>
          </w:tcPr>
          <w:p w:rsidR="0032152D" w:rsidRPr="0032152D" w:rsidRDefault="0032152D" w:rsidP="0032152D">
            <w:pPr>
              <w:tabs>
                <w:tab w:val="left" w:pos="0"/>
              </w:tabs>
              <w:rPr>
                <w:rFonts w:ascii="Arial" w:hAnsi="Arial"/>
                <w:bCs/>
                <w:color w:val="000000"/>
                <w:sz w:val="20"/>
              </w:rPr>
            </w:pPr>
          </w:p>
        </w:tc>
        <w:tc>
          <w:tcPr>
            <w:tcW w:w="720" w:type="dxa"/>
          </w:tcPr>
          <w:p w:rsidR="0032152D" w:rsidRPr="0032152D" w:rsidRDefault="0032152D" w:rsidP="0032152D">
            <w:pPr>
              <w:tabs>
                <w:tab w:val="left" w:pos="0"/>
              </w:tabs>
              <w:rPr>
                <w:rFonts w:ascii="Arial" w:hAnsi="Arial"/>
                <w:bCs/>
                <w:color w:val="000000"/>
                <w:sz w:val="20"/>
              </w:rPr>
            </w:pPr>
          </w:p>
        </w:tc>
        <w:tc>
          <w:tcPr>
            <w:tcW w:w="720" w:type="dxa"/>
          </w:tcPr>
          <w:p w:rsidR="0032152D" w:rsidRPr="0032152D" w:rsidRDefault="0032152D" w:rsidP="0032152D">
            <w:pPr>
              <w:tabs>
                <w:tab w:val="left" w:pos="0"/>
              </w:tabs>
              <w:rPr>
                <w:rFonts w:ascii="Arial" w:hAnsi="Arial"/>
                <w:bCs/>
                <w:color w:val="000000"/>
                <w:sz w:val="20"/>
              </w:rPr>
            </w:pPr>
          </w:p>
        </w:tc>
        <w:tc>
          <w:tcPr>
            <w:tcW w:w="720" w:type="dxa"/>
          </w:tcPr>
          <w:p w:rsidR="0032152D" w:rsidRPr="0032152D" w:rsidRDefault="0032152D" w:rsidP="0032152D">
            <w:pPr>
              <w:tabs>
                <w:tab w:val="left" w:pos="0"/>
              </w:tabs>
              <w:rPr>
                <w:rFonts w:ascii="Arial" w:hAnsi="Arial"/>
                <w:bCs/>
                <w:color w:val="000000"/>
                <w:sz w:val="20"/>
              </w:rPr>
            </w:pPr>
          </w:p>
        </w:tc>
        <w:tc>
          <w:tcPr>
            <w:tcW w:w="720" w:type="dxa"/>
          </w:tcPr>
          <w:p w:rsidR="0032152D" w:rsidRPr="0032152D" w:rsidRDefault="0032152D" w:rsidP="0032152D">
            <w:pPr>
              <w:tabs>
                <w:tab w:val="left" w:pos="0"/>
              </w:tabs>
              <w:rPr>
                <w:rFonts w:ascii="Arial" w:hAnsi="Arial"/>
                <w:bCs/>
                <w:color w:val="000000"/>
                <w:sz w:val="20"/>
              </w:rPr>
            </w:pPr>
          </w:p>
        </w:tc>
        <w:tc>
          <w:tcPr>
            <w:tcW w:w="720" w:type="dxa"/>
          </w:tcPr>
          <w:p w:rsidR="0032152D" w:rsidRPr="0032152D" w:rsidRDefault="0032152D" w:rsidP="0032152D">
            <w:pPr>
              <w:tabs>
                <w:tab w:val="left" w:pos="0"/>
              </w:tabs>
              <w:rPr>
                <w:rFonts w:ascii="Arial" w:hAnsi="Arial"/>
                <w:bCs/>
                <w:color w:val="000000"/>
                <w:sz w:val="20"/>
              </w:rPr>
            </w:pPr>
          </w:p>
        </w:tc>
        <w:tc>
          <w:tcPr>
            <w:tcW w:w="720" w:type="dxa"/>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auto"/>
          </w:tcPr>
          <w:p w:rsidR="0032152D" w:rsidRPr="0032152D" w:rsidRDefault="0032152D" w:rsidP="0032152D">
            <w:pPr>
              <w:tabs>
                <w:tab w:val="left" w:pos="0"/>
              </w:tabs>
              <w:rPr>
                <w:rFonts w:ascii="Arial" w:hAnsi="Arial"/>
                <w:bCs/>
                <w:color w:val="000000"/>
                <w:sz w:val="20"/>
              </w:rPr>
            </w:pPr>
          </w:p>
        </w:tc>
      </w:tr>
      <w:tr w:rsidR="0032152D" w:rsidRPr="0032152D" w:rsidTr="00D065D2">
        <w:tc>
          <w:tcPr>
            <w:tcW w:w="918" w:type="dxa"/>
            <w:tcBorders>
              <w:right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6</w:t>
            </w:r>
          </w:p>
        </w:tc>
        <w:tc>
          <w:tcPr>
            <w:tcW w:w="720" w:type="dxa"/>
            <w:tcBorders>
              <w:left w:val="single" w:sz="12" w:space="0" w:color="auto"/>
            </w:tcBorders>
          </w:tcPr>
          <w:p w:rsidR="0032152D" w:rsidRPr="0032152D" w:rsidRDefault="0032152D" w:rsidP="0032152D">
            <w:pPr>
              <w:tabs>
                <w:tab w:val="left" w:pos="0"/>
              </w:tabs>
              <w:rPr>
                <w:rFonts w:ascii="Arial" w:hAnsi="Arial"/>
                <w:bCs/>
                <w:color w:val="000000"/>
                <w:sz w:val="20"/>
              </w:rPr>
            </w:pPr>
          </w:p>
        </w:tc>
        <w:tc>
          <w:tcPr>
            <w:tcW w:w="720" w:type="dxa"/>
          </w:tcPr>
          <w:p w:rsidR="0032152D" w:rsidRPr="0032152D" w:rsidRDefault="0032152D" w:rsidP="0032152D">
            <w:pPr>
              <w:tabs>
                <w:tab w:val="left" w:pos="0"/>
              </w:tabs>
              <w:rPr>
                <w:rFonts w:ascii="Arial" w:hAnsi="Arial"/>
                <w:bCs/>
                <w:color w:val="000000"/>
                <w:sz w:val="20"/>
              </w:rPr>
            </w:pPr>
          </w:p>
        </w:tc>
        <w:tc>
          <w:tcPr>
            <w:tcW w:w="720" w:type="dxa"/>
            <w:tcBorders>
              <w:bottom w:val="single" w:sz="4" w:space="0" w:color="auto"/>
            </w:tcBorders>
          </w:tcPr>
          <w:p w:rsidR="0032152D" w:rsidRPr="0032152D" w:rsidRDefault="0032152D" w:rsidP="0032152D">
            <w:pPr>
              <w:tabs>
                <w:tab w:val="left" w:pos="0"/>
              </w:tabs>
              <w:rPr>
                <w:rFonts w:ascii="Arial" w:hAnsi="Arial"/>
                <w:bCs/>
                <w:color w:val="000000"/>
                <w:sz w:val="20"/>
              </w:rPr>
            </w:pPr>
          </w:p>
        </w:tc>
        <w:tc>
          <w:tcPr>
            <w:tcW w:w="720" w:type="dxa"/>
            <w:tcBorders>
              <w:bottom w:val="single" w:sz="4" w:space="0" w:color="auto"/>
            </w:tcBorders>
          </w:tcPr>
          <w:p w:rsidR="0032152D" w:rsidRPr="0032152D" w:rsidRDefault="0032152D" w:rsidP="0032152D">
            <w:pPr>
              <w:tabs>
                <w:tab w:val="left" w:pos="0"/>
              </w:tabs>
              <w:rPr>
                <w:rFonts w:ascii="Arial" w:hAnsi="Arial"/>
                <w:bCs/>
                <w:color w:val="000000"/>
                <w:sz w:val="20"/>
              </w:rPr>
            </w:pPr>
          </w:p>
        </w:tc>
        <w:tc>
          <w:tcPr>
            <w:tcW w:w="720" w:type="dxa"/>
          </w:tcPr>
          <w:p w:rsidR="0032152D" w:rsidRPr="0032152D" w:rsidRDefault="0032152D" w:rsidP="0032152D">
            <w:pPr>
              <w:tabs>
                <w:tab w:val="left" w:pos="0"/>
              </w:tabs>
              <w:rPr>
                <w:rFonts w:ascii="Arial" w:hAnsi="Arial"/>
                <w:bCs/>
                <w:color w:val="000000"/>
                <w:sz w:val="20"/>
              </w:rPr>
            </w:pPr>
          </w:p>
        </w:tc>
        <w:tc>
          <w:tcPr>
            <w:tcW w:w="720" w:type="dxa"/>
          </w:tcPr>
          <w:p w:rsidR="0032152D" w:rsidRPr="0032152D" w:rsidRDefault="0032152D" w:rsidP="0032152D">
            <w:pPr>
              <w:tabs>
                <w:tab w:val="left" w:pos="0"/>
              </w:tabs>
              <w:rPr>
                <w:rFonts w:ascii="Arial" w:hAnsi="Arial"/>
                <w:bCs/>
                <w:color w:val="000000"/>
                <w:sz w:val="20"/>
              </w:rPr>
            </w:pPr>
          </w:p>
        </w:tc>
        <w:tc>
          <w:tcPr>
            <w:tcW w:w="720" w:type="dxa"/>
          </w:tcPr>
          <w:p w:rsidR="0032152D" w:rsidRPr="0032152D" w:rsidRDefault="0032152D" w:rsidP="0032152D">
            <w:pPr>
              <w:tabs>
                <w:tab w:val="left" w:pos="0"/>
              </w:tabs>
              <w:rPr>
                <w:rFonts w:ascii="Arial" w:hAnsi="Arial"/>
                <w:bCs/>
                <w:color w:val="000000"/>
                <w:sz w:val="20"/>
              </w:rPr>
            </w:pPr>
          </w:p>
        </w:tc>
        <w:tc>
          <w:tcPr>
            <w:tcW w:w="720" w:type="dxa"/>
          </w:tcPr>
          <w:p w:rsidR="0032152D" w:rsidRPr="0032152D" w:rsidRDefault="0032152D" w:rsidP="0032152D">
            <w:pPr>
              <w:tabs>
                <w:tab w:val="left" w:pos="0"/>
              </w:tabs>
              <w:rPr>
                <w:rFonts w:ascii="Arial" w:hAnsi="Arial"/>
                <w:bCs/>
                <w:color w:val="000000"/>
                <w:sz w:val="20"/>
              </w:rPr>
            </w:pPr>
          </w:p>
        </w:tc>
        <w:tc>
          <w:tcPr>
            <w:tcW w:w="720" w:type="dxa"/>
            <w:tcBorders>
              <w:bottom w:val="single" w:sz="4" w:space="0" w:color="auto"/>
            </w:tcBorders>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tcBorders>
              <w:bottom w:val="single" w:sz="4" w:space="0" w:color="auto"/>
            </w:tcBorders>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auto"/>
          </w:tcPr>
          <w:p w:rsidR="0032152D" w:rsidRPr="0032152D" w:rsidRDefault="0032152D" w:rsidP="0032152D">
            <w:pPr>
              <w:tabs>
                <w:tab w:val="left" w:pos="0"/>
              </w:tabs>
              <w:rPr>
                <w:rFonts w:ascii="Arial" w:hAnsi="Arial"/>
                <w:bCs/>
                <w:color w:val="000000"/>
                <w:sz w:val="20"/>
              </w:rPr>
            </w:pPr>
          </w:p>
        </w:tc>
      </w:tr>
      <w:tr w:rsidR="0032152D" w:rsidRPr="0032152D" w:rsidTr="00D065D2">
        <w:tc>
          <w:tcPr>
            <w:tcW w:w="918" w:type="dxa"/>
            <w:tcBorders>
              <w:right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7</w:t>
            </w:r>
          </w:p>
        </w:tc>
        <w:tc>
          <w:tcPr>
            <w:tcW w:w="720" w:type="dxa"/>
            <w:tcBorders>
              <w:left w:val="single" w:sz="12" w:space="0" w:color="auto"/>
            </w:tcBorders>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auto"/>
          </w:tcPr>
          <w:p w:rsidR="0032152D" w:rsidRPr="0032152D" w:rsidRDefault="0032152D" w:rsidP="0032152D">
            <w:pPr>
              <w:tabs>
                <w:tab w:val="left" w:pos="0"/>
              </w:tabs>
              <w:rPr>
                <w:rFonts w:ascii="Arial" w:hAnsi="Arial"/>
                <w:bCs/>
                <w:color w:val="000000"/>
                <w:sz w:val="20"/>
              </w:rPr>
            </w:pPr>
          </w:p>
        </w:tc>
        <w:tc>
          <w:tcPr>
            <w:tcW w:w="720" w:type="dxa"/>
            <w:shd w:val="clear" w:color="auto" w:fill="auto"/>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tcPr>
          <w:p w:rsidR="0032152D" w:rsidRPr="0032152D" w:rsidRDefault="0032152D" w:rsidP="0032152D">
            <w:pPr>
              <w:tabs>
                <w:tab w:val="left" w:pos="0"/>
              </w:tabs>
              <w:rPr>
                <w:rFonts w:ascii="Arial" w:hAnsi="Arial"/>
                <w:bCs/>
                <w:color w:val="000000"/>
                <w:sz w:val="20"/>
              </w:rPr>
            </w:pPr>
          </w:p>
        </w:tc>
        <w:tc>
          <w:tcPr>
            <w:tcW w:w="720" w:type="dxa"/>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tcPr>
          <w:p w:rsidR="0032152D" w:rsidRPr="0032152D" w:rsidRDefault="0032152D" w:rsidP="0032152D">
            <w:pPr>
              <w:tabs>
                <w:tab w:val="left" w:pos="0"/>
              </w:tabs>
              <w:rPr>
                <w:rFonts w:ascii="Arial" w:hAnsi="Arial"/>
                <w:bCs/>
                <w:color w:val="000000"/>
                <w:sz w:val="20"/>
              </w:rPr>
            </w:pPr>
          </w:p>
        </w:tc>
        <w:tc>
          <w:tcPr>
            <w:tcW w:w="720" w:type="dxa"/>
          </w:tcPr>
          <w:p w:rsidR="0032152D" w:rsidRPr="0032152D" w:rsidRDefault="0032152D" w:rsidP="0032152D">
            <w:pPr>
              <w:tabs>
                <w:tab w:val="left" w:pos="0"/>
              </w:tabs>
              <w:rPr>
                <w:rFonts w:ascii="Arial" w:hAnsi="Arial"/>
                <w:bCs/>
                <w:color w:val="000000"/>
                <w:sz w:val="20"/>
              </w:rPr>
            </w:pPr>
          </w:p>
        </w:tc>
      </w:tr>
      <w:tr w:rsidR="0032152D" w:rsidRPr="0032152D" w:rsidTr="00D065D2">
        <w:tc>
          <w:tcPr>
            <w:tcW w:w="918" w:type="dxa"/>
            <w:tcBorders>
              <w:right w:val="single" w:sz="12" w:space="0" w:color="auto"/>
            </w:tcBorders>
          </w:tcPr>
          <w:p w:rsidR="0032152D" w:rsidRPr="0032152D" w:rsidRDefault="0032152D" w:rsidP="0032152D">
            <w:pPr>
              <w:tabs>
                <w:tab w:val="left" w:pos="0"/>
              </w:tabs>
              <w:jc w:val="center"/>
              <w:rPr>
                <w:rFonts w:ascii="Arial" w:hAnsi="Arial"/>
                <w:b/>
                <w:bCs/>
                <w:color w:val="000000"/>
                <w:sz w:val="20"/>
              </w:rPr>
            </w:pPr>
            <w:r w:rsidRPr="0032152D">
              <w:rPr>
                <w:rFonts w:ascii="Arial" w:hAnsi="Arial"/>
                <w:b/>
                <w:bCs/>
                <w:color w:val="000000"/>
                <w:sz w:val="20"/>
              </w:rPr>
              <w:t>8</w:t>
            </w:r>
          </w:p>
        </w:tc>
        <w:tc>
          <w:tcPr>
            <w:tcW w:w="720" w:type="dxa"/>
            <w:tcBorders>
              <w:left w:val="single" w:sz="12" w:space="0" w:color="auto"/>
            </w:tcBorders>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c>
          <w:tcPr>
            <w:tcW w:w="720" w:type="dxa"/>
            <w:shd w:val="clear" w:color="auto" w:fill="BFBFBF" w:themeFill="background1" w:themeFillShade="BF"/>
          </w:tcPr>
          <w:p w:rsidR="0032152D" w:rsidRPr="0032152D" w:rsidRDefault="0032152D" w:rsidP="0032152D">
            <w:pPr>
              <w:tabs>
                <w:tab w:val="left" w:pos="0"/>
              </w:tabs>
              <w:rPr>
                <w:rFonts w:ascii="Arial" w:hAnsi="Arial"/>
                <w:bCs/>
                <w:color w:val="000000"/>
                <w:sz w:val="20"/>
              </w:rPr>
            </w:pPr>
          </w:p>
        </w:tc>
      </w:tr>
    </w:tbl>
    <w:p w:rsidR="0032152D" w:rsidRPr="0032152D" w:rsidRDefault="0032152D" w:rsidP="0032152D">
      <w:pPr>
        <w:widowControl w:val="0"/>
        <w:autoSpaceDE w:val="0"/>
        <w:autoSpaceDN w:val="0"/>
        <w:adjustRightInd w:val="0"/>
        <w:ind w:left="360"/>
      </w:pPr>
    </w:p>
    <w:p w:rsidR="0032152D" w:rsidRPr="0032152D" w:rsidRDefault="0032152D" w:rsidP="0032152D">
      <w:pPr>
        <w:widowControl w:val="0"/>
        <w:autoSpaceDE w:val="0"/>
        <w:autoSpaceDN w:val="0"/>
        <w:adjustRightInd w:val="0"/>
        <w:rPr>
          <w:b/>
        </w:rPr>
      </w:pPr>
      <w:r w:rsidRPr="0032152D">
        <w:rPr>
          <w:b/>
        </w:rPr>
        <w:t>E. Furnished Property / Other Considerations:</w:t>
      </w:r>
    </w:p>
    <w:p w:rsidR="0032152D" w:rsidRPr="0032152D" w:rsidRDefault="0032152D" w:rsidP="0032152D">
      <w:pPr>
        <w:widowControl w:val="0"/>
        <w:autoSpaceDE w:val="0"/>
        <w:autoSpaceDN w:val="0"/>
        <w:adjustRightInd w:val="0"/>
        <w:ind w:left="720"/>
      </w:pPr>
      <w:r w:rsidRPr="0032152D">
        <w:t>None</w:t>
      </w: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32152D" w:rsidRDefault="006C2B34" w:rsidP="00AE2409">
      <w:pPr>
        <w:rPr>
          <w:color w:val="000000"/>
        </w:rPr>
      </w:pPr>
      <w:r>
        <w:rPr>
          <w:color w:val="000000" w:themeColor="text1"/>
        </w:rPr>
        <w:lastRenderedPageBreak/>
        <w:t>T</w:t>
      </w:r>
      <w:r w:rsidRPr="00847198">
        <w:rPr>
          <w:color w:val="000000" w:themeColor="text1"/>
        </w:rPr>
        <w:t xml:space="preserve">he National Park Service </w:t>
      </w:r>
      <w:r>
        <w:rPr>
          <w:color w:val="000000" w:themeColor="text1"/>
        </w:rPr>
        <w:t xml:space="preserve">and </w:t>
      </w:r>
      <w:r w:rsidR="00044EEE" w:rsidRPr="0032152D">
        <w:rPr>
          <w:color w:val="000000" w:themeColor="text1"/>
        </w:rPr>
        <w:t>University of Tennessee-Knoxville</w:t>
      </w:r>
      <w:r w:rsidRPr="0032152D">
        <w:rPr>
          <w:color w:val="000000" w:themeColor="text1"/>
        </w:rPr>
        <w:t xml:space="preserve"> as</w:t>
      </w:r>
      <w:r w:rsidR="00DA76F0" w:rsidRPr="0032152D">
        <w:rPr>
          <w:color w:val="000000" w:themeColor="text1"/>
        </w:rPr>
        <w:t xml:space="preserve"> members of the </w:t>
      </w:r>
      <w:r w:rsidR="002A670B" w:rsidRPr="0032152D">
        <w:rPr>
          <w:color w:val="000000" w:themeColor="text1"/>
        </w:rPr>
        <w:t>Southern Appalachian Mountains</w:t>
      </w:r>
      <w:r w:rsidR="00DA76F0" w:rsidRPr="0032152D">
        <w:rPr>
          <w:color w:val="000000" w:themeColor="text1"/>
        </w:rPr>
        <w:t xml:space="preserve"> </w:t>
      </w:r>
      <w:r w:rsidR="009A1641" w:rsidRPr="0032152D">
        <w:rPr>
          <w:color w:val="000000" w:themeColor="text1"/>
        </w:rPr>
        <w:t>Cooperative Ecosystem Studies Unit (</w:t>
      </w:r>
      <w:r w:rsidR="002A670B" w:rsidRPr="0032152D">
        <w:rPr>
          <w:color w:val="000000" w:themeColor="text1"/>
        </w:rPr>
        <w:t>SA-</w:t>
      </w:r>
      <w:r w:rsidR="00DA76F0" w:rsidRPr="0032152D">
        <w:rPr>
          <w:color w:val="000000" w:themeColor="text1"/>
        </w:rPr>
        <w:t>CESU</w:t>
      </w:r>
      <w:r w:rsidR="009A1641" w:rsidRPr="0032152D">
        <w:rPr>
          <w:color w:val="000000" w:themeColor="text1"/>
        </w:rPr>
        <w:t>)</w:t>
      </w:r>
      <w:r w:rsidR="00DA76F0" w:rsidRPr="0032152D">
        <w:rPr>
          <w:color w:val="000000" w:themeColor="text1"/>
        </w:rPr>
        <w:t xml:space="preserve"> network</w:t>
      </w:r>
      <w:r w:rsidR="00847198" w:rsidRPr="0032152D">
        <w:rPr>
          <w:b/>
          <w:color w:val="002060"/>
        </w:rPr>
        <w:t xml:space="preserve"> </w:t>
      </w:r>
      <w:r w:rsidRPr="0032152D">
        <w:rPr>
          <w:color w:val="000000" w:themeColor="text1"/>
        </w:rPr>
        <w:t>are</w:t>
      </w:r>
      <w:r w:rsidRPr="0032152D">
        <w:rPr>
          <w:b/>
          <w:color w:val="002060"/>
        </w:rPr>
        <w:t xml:space="preserve"> </w:t>
      </w:r>
      <w:r w:rsidR="00847198" w:rsidRPr="0032152D">
        <w:rPr>
          <w:color w:val="000000"/>
        </w:rPr>
        <w:t xml:space="preserve">under a Cooperative Agreement which allows </w:t>
      </w:r>
      <w:r w:rsidR="00044EEE" w:rsidRPr="0032152D">
        <w:rPr>
          <w:color w:val="000000"/>
        </w:rPr>
        <w:t>University of Tennessee-Knoxville</w:t>
      </w:r>
      <w:r w:rsidR="00847198" w:rsidRPr="0032152D">
        <w:rPr>
          <w:color w:val="000000"/>
        </w:rPr>
        <w:t xml:space="preserve"> to participate in specific tasks under task agreements with the National Park</w:t>
      </w:r>
      <w:r w:rsidRPr="0032152D">
        <w:rPr>
          <w:color w:val="000000"/>
        </w:rPr>
        <w:t xml:space="preserve"> Service.</w:t>
      </w:r>
      <w:r w:rsidR="00847198" w:rsidRPr="0032152D">
        <w:rPr>
          <w:color w:val="000000"/>
        </w:rPr>
        <w:t xml:space="preserve"> </w:t>
      </w:r>
    </w:p>
    <w:p w:rsidR="006C2B34" w:rsidRPr="0032152D" w:rsidRDefault="006C2B34" w:rsidP="00AE2409">
      <w:pPr>
        <w:rPr>
          <w:color w:val="000000"/>
        </w:rPr>
      </w:pPr>
    </w:p>
    <w:p w:rsidR="00224391" w:rsidRDefault="00847198" w:rsidP="00AE2409">
      <w:pPr>
        <w:rPr>
          <w:b/>
          <w:color w:val="002060"/>
        </w:rPr>
      </w:pPr>
      <w:r w:rsidRPr="0032152D">
        <w:rPr>
          <w:color w:val="000000" w:themeColor="text1"/>
        </w:rPr>
        <w:t xml:space="preserve">The National Park Service intends to award </w:t>
      </w:r>
      <w:r w:rsidR="006C2B34" w:rsidRPr="0032152D">
        <w:rPr>
          <w:color w:val="000000" w:themeColor="text1"/>
        </w:rPr>
        <w:t>a</w:t>
      </w:r>
      <w:r w:rsidRPr="0032152D">
        <w:rPr>
          <w:color w:val="000000" w:themeColor="text1"/>
        </w:rPr>
        <w:t xml:space="preserve"> task agreement to </w:t>
      </w:r>
      <w:r w:rsidR="00044EEE" w:rsidRPr="0032152D">
        <w:rPr>
          <w:color w:val="000000" w:themeColor="text1"/>
        </w:rPr>
        <w:t>University of Tennessee-Knoxville</w:t>
      </w:r>
      <w:r w:rsidRPr="00847198">
        <w:rPr>
          <w:color w:val="000000" w:themeColor="text1"/>
        </w:rPr>
        <w:t xml:space="preserve"> based on the following</w:t>
      </w:r>
      <w:r w:rsidR="00DA76F0">
        <w:rPr>
          <w:b/>
          <w:color w:val="002060"/>
        </w:rPr>
        <w:t>:</w:t>
      </w:r>
      <w:r w:rsidR="00A2008C" w:rsidRPr="00350940">
        <w:rPr>
          <w:b/>
          <w:color w:val="002060"/>
        </w:rPr>
        <w:t xml:space="preserve">   </w:t>
      </w:r>
    </w:p>
    <w:p w:rsidR="00DA76F0" w:rsidRDefault="00DA76F0" w:rsidP="00AE2409">
      <w:pPr>
        <w:rPr>
          <w:b/>
          <w:color w:val="002060"/>
        </w:rPr>
      </w:pPr>
    </w:p>
    <w:p w:rsidR="0032152D" w:rsidRPr="0032152D" w:rsidRDefault="00A2008C" w:rsidP="0032152D">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32152D" w:rsidRPr="0032152D">
        <w:rPr>
          <w:color w:val="000000"/>
        </w:rPr>
        <w:t>The UT is uniquely qualified to lead the water quality monitoring effort for several reasons: 1) The University of Tennessee (UT) has been conducting long term water quality monitoring for GRSM since 1993, which provides a knowledge of park resources, logistics, analyses and data interpretation that is unsurpassed in the water quality field, 2) the low ionic strength of the water in GRSM is very difficult to analyze using traditional methods, however UT has developed and QA/QC tested methods to accurately analyze these samples, and 3) the logistics of collecting data from the Noland high elevation watershed includes a large learning curve, which UT has overcome.  Any new laboratory would spend a lot of time and effort to train new staff on accurately collecting data in such a diverse and difficult environment.</w:t>
      </w:r>
    </w:p>
    <w:p w:rsidR="00A2008C" w:rsidRDefault="00A2008C" w:rsidP="00AE2409">
      <w:pPr>
        <w:autoSpaceDE w:val="0"/>
        <w:autoSpaceDN w:val="0"/>
        <w:adjustRightInd w:val="0"/>
        <w:ind w:left="720"/>
        <w:rPr>
          <w:color w:val="000000"/>
        </w:rPr>
      </w:pP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5D2" w:rsidRDefault="00D065D2">
      <w:r>
        <w:separator/>
      </w:r>
    </w:p>
  </w:endnote>
  <w:endnote w:type="continuationSeparator" w:id="0">
    <w:p w:rsidR="00D065D2" w:rsidRDefault="00D06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5D2" w:rsidRDefault="00D065D2">
      <w:r>
        <w:separator/>
      </w:r>
    </w:p>
  </w:footnote>
  <w:footnote w:type="continuationSeparator" w:id="0">
    <w:p w:rsidR="00D065D2" w:rsidRDefault="00D065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2">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6"/>
  </w:num>
  <w:num w:numId="3">
    <w:abstractNumId w:val="0"/>
  </w:num>
  <w:num w:numId="4">
    <w:abstractNumId w:val="7"/>
  </w:num>
  <w:num w:numId="5">
    <w:abstractNumId w:val="5"/>
  </w:num>
  <w:num w:numId="6">
    <w:abstractNumId w:val="15"/>
  </w:num>
  <w:num w:numId="7">
    <w:abstractNumId w:val="13"/>
  </w:num>
  <w:num w:numId="8">
    <w:abstractNumId w:val="17"/>
  </w:num>
  <w:num w:numId="9">
    <w:abstractNumId w:val="12"/>
  </w:num>
  <w:num w:numId="10">
    <w:abstractNumId w:val="3"/>
  </w:num>
  <w:num w:numId="11">
    <w:abstractNumId w:val="14"/>
  </w:num>
  <w:num w:numId="12">
    <w:abstractNumId w:val="10"/>
  </w:num>
  <w:num w:numId="13">
    <w:abstractNumId w:val="11"/>
  </w:num>
  <w:num w:numId="14">
    <w:abstractNumId w:val="4"/>
  </w:num>
  <w:num w:numId="15">
    <w:abstractNumId w:val="6"/>
  </w:num>
  <w:num w:numId="16">
    <w:abstractNumId w:val="18"/>
  </w:num>
  <w:num w:numId="17">
    <w:abstractNumId w:val="9"/>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15C65"/>
    <w:rsid w:val="00035E8C"/>
    <w:rsid w:val="00036CE0"/>
    <w:rsid w:val="00044EEE"/>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33758"/>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152D"/>
    <w:rsid w:val="003228AE"/>
    <w:rsid w:val="003253A8"/>
    <w:rsid w:val="0032626F"/>
    <w:rsid w:val="00342F19"/>
    <w:rsid w:val="00350940"/>
    <w:rsid w:val="00367A5E"/>
    <w:rsid w:val="00377845"/>
    <w:rsid w:val="003A0787"/>
    <w:rsid w:val="003A7E67"/>
    <w:rsid w:val="003C67D0"/>
    <w:rsid w:val="003D0330"/>
    <w:rsid w:val="003D0A06"/>
    <w:rsid w:val="003D2508"/>
    <w:rsid w:val="003E027C"/>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0EC"/>
    <w:rsid w:val="0053163A"/>
    <w:rsid w:val="0054091C"/>
    <w:rsid w:val="00564708"/>
    <w:rsid w:val="00570CE3"/>
    <w:rsid w:val="00582B57"/>
    <w:rsid w:val="005964C3"/>
    <w:rsid w:val="00596F94"/>
    <w:rsid w:val="005A74F4"/>
    <w:rsid w:val="005C37A7"/>
    <w:rsid w:val="005C5E43"/>
    <w:rsid w:val="005D54A5"/>
    <w:rsid w:val="005D6616"/>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751B4"/>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065D2"/>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 w:type="table" w:customStyle="1" w:styleId="TableGrid1">
    <w:name w:val="Table Grid1"/>
    <w:basedOn w:val="TableNormal"/>
    <w:next w:val="TableGrid"/>
    <w:rsid w:val="0032152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 w:type="table" w:customStyle="1" w:styleId="TableGrid1">
    <w:name w:val="Table Grid1"/>
    <w:basedOn w:val="TableNormal"/>
    <w:next w:val="TableGrid"/>
    <w:rsid w:val="0032152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ature.nps.gov/publications/nrpm/nrds.c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ature.nps.gov/publications/nrpm/nrds.cfm" TargetMode="External"/><Relationship Id="rId5" Type="http://schemas.openxmlformats.org/officeDocument/2006/relationships/webSettings" Target="webSettings.xml"/><Relationship Id="rId10" Type="http://schemas.openxmlformats.org/officeDocument/2006/relationships/hyperlink" Target="mailto:jschwart@utk.ed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1565</Words>
  <Characters>9404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10948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13</cp:revision>
  <cp:lastPrinted>2011-06-08T14:48:00Z</cp:lastPrinted>
  <dcterms:created xsi:type="dcterms:W3CDTF">2013-05-13T19:30:00Z</dcterms:created>
  <dcterms:modified xsi:type="dcterms:W3CDTF">2014-05-12T19:44:00Z</dcterms:modified>
</cp:coreProperties>
</file>