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EE3" w:rsidRPr="008D5EE3" w:rsidRDefault="008D5EE3" w:rsidP="008D5EE3">
      <w:pPr>
        <w:pStyle w:val="ListParagraph"/>
        <w:numPr>
          <w:ilvl w:val="0"/>
          <w:numId w:val="1"/>
        </w:numPr>
        <w:rPr>
          <w:rFonts w:ascii="Times New Roman" w:hAnsi="Times New Roman" w:cs="Times New Roman"/>
          <w:sz w:val="24"/>
          <w:szCs w:val="24"/>
        </w:rPr>
      </w:pPr>
      <w:bookmarkStart w:id="0" w:name="_GoBack"/>
      <w:bookmarkEnd w:id="0"/>
      <w:r w:rsidRPr="008D5EE3">
        <w:rPr>
          <w:rFonts w:ascii="Times New Roman" w:hAnsi="Times New Roman" w:cs="Times New Roman"/>
          <w:sz w:val="24"/>
          <w:szCs w:val="24"/>
        </w:rPr>
        <w:t xml:space="preserve"> Is food or refreshments allowable? </w:t>
      </w:r>
    </w:p>
    <w:p w:rsidR="00A11460" w:rsidRPr="007E057E" w:rsidRDefault="00A11460" w:rsidP="008D5EE3">
      <w:pPr>
        <w:rPr>
          <w:rFonts w:ascii="Times New Roman" w:hAnsi="Times New Roman" w:cs="Times New Roman"/>
          <w:sz w:val="24"/>
          <w:szCs w:val="24"/>
        </w:rPr>
      </w:pPr>
      <w:r>
        <w:rPr>
          <w:rFonts w:ascii="Times New Roman" w:hAnsi="Times New Roman" w:cs="Times New Roman"/>
          <w:sz w:val="24"/>
          <w:szCs w:val="24"/>
        </w:rPr>
        <w:t xml:space="preserve">Food or refreshments are </w:t>
      </w:r>
      <w:r w:rsidR="00467DF1">
        <w:rPr>
          <w:rFonts w:ascii="Times New Roman" w:hAnsi="Times New Roman" w:cs="Times New Roman"/>
          <w:sz w:val="24"/>
          <w:szCs w:val="24"/>
        </w:rPr>
        <w:t xml:space="preserve">generally </w:t>
      </w:r>
      <w:r>
        <w:rPr>
          <w:rFonts w:ascii="Times New Roman" w:hAnsi="Times New Roman" w:cs="Times New Roman"/>
          <w:sz w:val="24"/>
          <w:szCs w:val="24"/>
        </w:rPr>
        <w:t xml:space="preserve">unallowable under PHMSA’s Hazmat Grants Program. </w:t>
      </w:r>
      <w:r w:rsidR="00467DF1">
        <w:rPr>
          <w:rFonts w:ascii="Times New Roman" w:hAnsi="Times New Roman" w:cs="Times New Roman"/>
          <w:sz w:val="24"/>
          <w:szCs w:val="24"/>
        </w:rPr>
        <w:t>PHMSA</w:t>
      </w:r>
      <w:r w:rsidR="00467DF1" w:rsidRPr="007E057E">
        <w:rPr>
          <w:rFonts w:ascii="Times New Roman" w:hAnsi="Times New Roman" w:cs="Times New Roman"/>
          <w:sz w:val="24"/>
          <w:szCs w:val="24"/>
        </w:rPr>
        <w:t xml:space="preserve"> encourage</w:t>
      </w:r>
      <w:r w:rsidR="00467DF1">
        <w:rPr>
          <w:rFonts w:ascii="Times New Roman" w:hAnsi="Times New Roman" w:cs="Times New Roman"/>
          <w:sz w:val="24"/>
          <w:szCs w:val="24"/>
        </w:rPr>
        <w:t>s</w:t>
      </w:r>
      <w:r w:rsidR="00467DF1" w:rsidRPr="007E057E">
        <w:rPr>
          <w:rFonts w:ascii="Times New Roman" w:hAnsi="Times New Roman" w:cs="Times New Roman"/>
          <w:sz w:val="24"/>
          <w:szCs w:val="24"/>
        </w:rPr>
        <w:t xml:space="preserve"> applicants to plan sufficient meal breaks and use per diem rates for conference attendees to purchase their own food.</w:t>
      </w:r>
      <w:r w:rsidR="00467DF1">
        <w:rPr>
          <w:rFonts w:ascii="Times New Roman" w:hAnsi="Times New Roman" w:cs="Times New Roman"/>
          <w:sz w:val="24"/>
          <w:szCs w:val="24"/>
        </w:rPr>
        <w:t xml:space="preserve"> </w:t>
      </w:r>
      <w:r>
        <w:rPr>
          <w:rFonts w:ascii="Times New Roman" w:hAnsi="Times New Roman" w:cs="Times New Roman"/>
          <w:sz w:val="24"/>
          <w:szCs w:val="24"/>
        </w:rPr>
        <w:t>However, beverages such as water for trainings that are in rural locations or training conducted outside where hydration is needed to ensure exercises are safely conducted. If an applicant has a unique circums</w:t>
      </w:r>
      <w:r w:rsidR="00986800">
        <w:rPr>
          <w:rFonts w:ascii="Times New Roman" w:hAnsi="Times New Roman" w:cs="Times New Roman"/>
          <w:sz w:val="24"/>
          <w:szCs w:val="24"/>
        </w:rPr>
        <w:t>tance that may require food</w:t>
      </w:r>
      <w:r w:rsidR="008A38DD">
        <w:rPr>
          <w:rFonts w:ascii="Times New Roman" w:hAnsi="Times New Roman" w:cs="Times New Roman"/>
          <w:sz w:val="24"/>
          <w:szCs w:val="24"/>
        </w:rPr>
        <w:t>,</w:t>
      </w:r>
      <w:r w:rsidR="00986800">
        <w:rPr>
          <w:rFonts w:ascii="Times New Roman" w:hAnsi="Times New Roman" w:cs="Times New Roman"/>
          <w:sz w:val="24"/>
          <w:szCs w:val="24"/>
        </w:rPr>
        <w:t xml:space="preserve"> the request to incur food cost should be requested and explained in the application.</w:t>
      </w:r>
    </w:p>
    <w:p w:rsidR="008D5EE3" w:rsidRDefault="008D5EE3" w:rsidP="008D5EE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Is Tier II software an eligible expense for state agencies and local agencies?</w:t>
      </w:r>
    </w:p>
    <w:p w:rsidR="008D5EE3" w:rsidRDefault="0008785A" w:rsidP="008D5EE3">
      <w:pPr>
        <w:rPr>
          <w:rFonts w:ascii="Times New Roman" w:hAnsi="Times New Roman" w:cs="Times New Roman"/>
          <w:sz w:val="24"/>
          <w:szCs w:val="24"/>
        </w:rPr>
      </w:pPr>
      <w:r>
        <w:rPr>
          <w:rFonts w:ascii="Times New Roman" w:hAnsi="Times New Roman" w:cs="Times New Roman"/>
          <w:sz w:val="24"/>
          <w:szCs w:val="24"/>
        </w:rPr>
        <w:t xml:space="preserve">Response: </w:t>
      </w:r>
      <w:r w:rsidR="008D5EE3" w:rsidRPr="008D5EE3">
        <w:rPr>
          <w:rFonts w:ascii="Times New Roman" w:hAnsi="Times New Roman" w:cs="Times New Roman"/>
          <w:sz w:val="24"/>
          <w:szCs w:val="24"/>
        </w:rPr>
        <w:t>For Tier II software to be an eligible expense, applicants must explain how it supports hazmat planning needs such as using the data made available through the software to update plans, conduct commodity flow studies, and identify specific chemicals being transported and stored within local communities.</w:t>
      </w:r>
    </w:p>
    <w:p w:rsidR="00E25368" w:rsidRDefault="00E25368" w:rsidP="008D5EE3">
      <w:pPr>
        <w:rPr>
          <w:rFonts w:ascii="Times New Roman" w:hAnsi="Times New Roman" w:cs="Times New Roman"/>
          <w:sz w:val="24"/>
          <w:szCs w:val="24"/>
        </w:rPr>
      </w:pPr>
    </w:p>
    <w:p w:rsidR="00E25368" w:rsidRDefault="00E25368" w:rsidP="00E2536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Is the period of performance 2 years or 3 years? The HMEP NOFO references 2019-2021.</w:t>
      </w:r>
    </w:p>
    <w:p w:rsidR="00E25368" w:rsidRDefault="007E057E" w:rsidP="00E25368">
      <w:pPr>
        <w:rPr>
          <w:rFonts w:ascii="Times New Roman" w:hAnsi="Times New Roman" w:cs="Times New Roman"/>
          <w:sz w:val="24"/>
          <w:szCs w:val="24"/>
        </w:rPr>
      </w:pPr>
      <w:r>
        <w:rPr>
          <w:rFonts w:ascii="Times New Roman" w:hAnsi="Times New Roman" w:cs="Times New Roman"/>
          <w:sz w:val="24"/>
          <w:szCs w:val="24"/>
        </w:rPr>
        <w:t>Response: The period of performance for states and territories is 3-years, 2019-2022. The reference to 2019-2021 is an error and the NOFO will be updated to correct the performance period. Please submit activities for three years if you are a designated HMEP state agency.</w:t>
      </w:r>
    </w:p>
    <w:p w:rsidR="007E057E" w:rsidRPr="007E057E" w:rsidRDefault="007E057E" w:rsidP="007E057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w:t>
      </w:r>
      <w:r w:rsidRPr="007E057E">
        <w:rPr>
          <w:rFonts w:ascii="Times New Roman" w:hAnsi="Times New Roman" w:cs="Times New Roman"/>
          <w:sz w:val="24"/>
          <w:szCs w:val="24"/>
        </w:rPr>
        <w:t xml:space="preserve">y </w:t>
      </w:r>
      <w:r w:rsidR="008A38DD">
        <w:rPr>
          <w:rFonts w:ascii="Times New Roman" w:hAnsi="Times New Roman" w:cs="Times New Roman"/>
          <w:sz w:val="24"/>
          <w:szCs w:val="24"/>
        </w:rPr>
        <w:t xml:space="preserve">is </w:t>
      </w:r>
      <w:r w:rsidR="00746ED2">
        <w:rPr>
          <w:rFonts w:ascii="Times New Roman" w:hAnsi="Times New Roman" w:cs="Times New Roman"/>
          <w:sz w:val="24"/>
          <w:szCs w:val="24"/>
        </w:rPr>
        <w:t>food</w:t>
      </w:r>
      <w:r w:rsidRPr="007E057E">
        <w:rPr>
          <w:rFonts w:ascii="Times New Roman" w:hAnsi="Times New Roman" w:cs="Times New Roman"/>
          <w:sz w:val="24"/>
          <w:szCs w:val="24"/>
        </w:rPr>
        <w:t xml:space="preserve"> listed as an unallowable cost in the HMEP expenditures guide</w:t>
      </w:r>
      <w:r>
        <w:rPr>
          <w:rFonts w:ascii="Times New Roman" w:hAnsi="Times New Roman" w:cs="Times New Roman"/>
          <w:sz w:val="24"/>
          <w:szCs w:val="24"/>
        </w:rPr>
        <w:t xml:space="preserve"> for conferences? Per 2 CFR </w:t>
      </w:r>
      <w:r w:rsidR="008A38DD">
        <w:rPr>
          <w:rFonts w:ascii="Times New Roman" w:hAnsi="Times New Roman" w:cs="Times New Roman"/>
          <w:sz w:val="24"/>
          <w:szCs w:val="24"/>
        </w:rPr>
        <w:t xml:space="preserve">200 </w:t>
      </w:r>
      <w:r>
        <w:rPr>
          <w:rFonts w:ascii="Times New Roman" w:hAnsi="Times New Roman" w:cs="Times New Roman"/>
          <w:sz w:val="24"/>
          <w:szCs w:val="24"/>
        </w:rPr>
        <w:t>432, a</w:t>
      </w:r>
      <w:r w:rsidRPr="007E057E">
        <w:rPr>
          <w:rFonts w:ascii="Times New Roman" w:hAnsi="Times New Roman" w:cs="Times New Roman"/>
          <w:sz w:val="24"/>
          <w:szCs w:val="24"/>
        </w:rPr>
        <w:t xml:space="preserve"> conference is defined as a meeting, retreat, seminar, symposium, workshop or event whose primary purpose is the dissemination of technical information beyond the non-Federal entity and is necessary and reasonable for successful performance under the Federal award. Allowable conference costs paid by the non-Federal entity as a sponsor or host of the conference may include rental of facilities, speakers' fees, costs of meals and refreshments, local transportation, and other items incidental to such conferences unless further restricted by the terms and conditions of the Federal award. As needed, the costs of identifying, but not providing, locally available dependent-care resources are allowable. Conference hosts/sponsors must exercise discretion and judgment in ensuring that conference costs are appropriate, necessary and managed in a manner that minimizes costs to the Federal award. The Federal awarding agency may authorize exceptions where appropriate for programs including Indian tribes, children, and the elderly.</w:t>
      </w:r>
    </w:p>
    <w:p w:rsidR="007E057E" w:rsidRPr="007E057E" w:rsidRDefault="007E057E" w:rsidP="007E057E">
      <w:pPr>
        <w:rPr>
          <w:rFonts w:ascii="Times New Roman" w:hAnsi="Times New Roman" w:cs="Times New Roman"/>
          <w:sz w:val="24"/>
          <w:szCs w:val="24"/>
        </w:rPr>
      </w:pPr>
      <w:r>
        <w:rPr>
          <w:rFonts w:ascii="Times New Roman" w:hAnsi="Times New Roman" w:cs="Times New Roman"/>
          <w:sz w:val="24"/>
          <w:szCs w:val="24"/>
        </w:rPr>
        <w:t>Response:</w:t>
      </w:r>
      <w:r w:rsidRPr="007E057E">
        <w:t xml:space="preserve"> </w:t>
      </w:r>
      <w:r w:rsidRPr="007E057E">
        <w:rPr>
          <w:rFonts w:ascii="Times New Roman" w:hAnsi="Times New Roman" w:cs="Times New Roman"/>
          <w:sz w:val="24"/>
          <w:szCs w:val="24"/>
        </w:rPr>
        <w:t xml:space="preserve">2 CFR 200.432 allows the </w:t>
      </w:r>
      <w:r w:rsidRPr="007E057E">
        <w:rPr>
          <w:rFonts w:ascii="Times New Roman" w:hAnsi="Times New Roman" w:cs="Times New Roman"/>
          <w:b/>
          <w:sz w:val="24"/>
          <w:szCs w:val="24"/>
        </w:rPr>
        <w:t>non-federal entity</w:t>
      </w:r>
      <w:r w:rsidRPr="007E057E">
        <w:rPr>
          <w:rFonts w:ascii="Times New Roman" w:hAnsi="Times New Roman" w:cs="Times New Roman"/>
          <w:sz w:val="24"/>
          <w:szCs w:val="24"/>
        </w:rPr>
        <w:t xml:space="preserve"> to pay for food</w:t>
      </w:r>
      <w:r>
        <w:rPr>
          <w:rFonts w:ascii="Times New Roman" w:hAnsi="Times New Roman" w:cs="Times New Roman"/>
          <w:sz w:val="24"/>
          <w:szCs w:val="24"/>
        </w:rPr>
        <w:t>,</w:t>
      </w:r>
      <w:r w:rsidRPr="007E057E">
        <w:rPr>
          <w:rFonts w:ascii="Times New Roman" w:hAnsi="Times New Roman" w:cs="Times New Roman"/>
          <w:sz w:val="24"/>
          <w:szCs w:val="24"/>
        </w:rPr>
        <w:t xml:space="preserve"> not the federal agency. </w:t>
      </w:r>
    </w:p>
    <w:p w:rsidR="007E057E" w:rsidRPr="007E057E" w:rsidRDefault="007E057E" w:rsidP="007E057E">
      <w:pPr>
        <w:rPr>
          <w:rFonts w:ascii="Times New Roman" w:hAnsi="Times New Roman" w:cs="Times New Roman"/>
          <w:sz w:val="24"/>
          <w:szCs w:val="24"/>
        </w:rPr>
      </w:pPr>
      <w:r w:rsidRPr="007E057E">
        <w:rPr>
          <w:rFonts w:ascii="Times New Roman" w:hAnsi="Times New Roman" w:cs="Times New Roman"/>
          <w:sz w:val="24"/>
          <w:szCs w:val="24"/>
        </w:rPr>
        <w:t>Allowable conference costs paid by the non-Federal entity as a sponsor or host of the conference may include rental of facilities, speakers' fees, costs of meals and refreshments.</w:t>
      </w:r>
    </w:p>
    <w:p w:rsidR="007E057E" w:rsidRDefault="007E057E" w:rsidP="007E057E">
      <w:pPr>
        <w:rPr>
          <w:rFonts w:ascii="Times New Roman" w:hAnsi="Times New Roman" w:cs="Times New Roman"/>
          <w:sz w:val="24"/>
          <w:szCs w:val="24"/>
        </w:rPr>
      </w:pPr>
      <w:r w:rsidRPr="007E057E">
        <w:rPr>
          <w:rFonts w:ascii="Times New Roman" w:hAnsi="Times New Roman" w:cs="Times New Roman"/>
          <w:sz w:val="24"/>
          <w:szCs w:val="24"/>
        </w:rPr>
        <w:t>2 CFR 200.432 does give the agency the authority to a</w:t>
      </w:r>
      <w:r w:rsidR="0008785A">
        <w:rPr>
          <w:rFonts w:ascii="Times New Roman" w:hAnsi="Times New Roman" w:cs="Times New Roman"/>
          <w:sz w:val="24"/>
          <w:szCs w:val="24"/>
        </w:rPr>
        <w:t>llow food at conferences if it is</w:t>
      </w:r>
      <w:r w:rsidRPr="007E057E">
        <w:rPr>
          <w:rFonts w:ascii="Times New Roman" w:hAnsi="Times New Roman" w:cs="Times New Roman"/>
          <w:sz w:val="24"/>
          <w:szCs w:val="24"/>
        </w:rPr>
        <w:t xml:space="preserve"> deemed reasonable and necessary. In general, </w:t>
      </w:r>
      <w:r>
        <w:rPr>
          <w:rFonts w:ascii="Times New Roman" w:hAnsi="Times New Roman" w:cs="Times New Roman"/>
          <w:sz w:val="24"/>
          <w:szCs w:val="24"/>
        </w:rPr>
        <w:t>PHMSA</w:t>
      </w:r>
      <w:r w:rsidRPr="007E057E">
        <w:rPr>
          <w:rFonts w:ascii="Times New Roman" w:hAnsi="Times New Roman" w:cs="Times New Roman"/>
          <w:sz w:val="24"/>
          <w:szCs w:val="24"/>
        </w:rPr>
        <w:t xml:space="preserve"> encourage</w:t>
      </w:r>
      <w:r w:rsidR="0008785A">
        <w:rPr>
          <w:rFonts w:ascii="Times New Roman" w:hAnsi="Times New Roman" w:cs="Times New Roman"/>
          <w:sz w:val="24"/>
          <w:szCs w:val="24"/>
        </w:rPr>
        <w:t>s</w:t>
      </w:r>
      <w:r w:rsidRPr="007E057E">
        <w:rPr>
          <w:rFonts w:ascii="Times New Roman" w:hAnsi="Times New Roman" w:cs="Times New Roman"/>
          <w:sz w:val="24"/>
          <w:szCs w:val="24"/>
        </w:rPr>
        <w:t xml:space="preserve"> applicants to plan sufficient meal breaks and use per diem rates for conference attendees to purchase their own food.</w:t>
      </w:r>
    </w:p>
    <w:p w:rsidR="00D3410E" w:rsidRPr="00680780" w:rsidRDefault="00D3410E" w:rsidP="00D3410E">
      <w:pPr>
        <w:pStyle w:val="ListParagraph"/>
        <w:numPr>
          <w:ilvl w:val="0"/>
          <w:numId w:val="1"/>
        </w:numPr>
        <w:rPr>
          <w:rFonts w:ascii="Times New Roman" w:hAnsi="Times New Roman" w:cs="Times New Roman"/>
          <w:sz w:val="24"/>
          <w:szCs w:val="24"/>
        </w:rPr>
      </w:pPr>
      <w:r w:rsidRPr="00680780">
        <w:rPr>
          <w:rFonts w:ascii="Times New Roman" w:hAnsi="Times New Roman" w:cs="Times New Roman"/>
          <w:sz w:val="24"/>
          <w:szCs w:val="24"/>
        </w:rPr>
        <w:lastRenderedPageBreak/>
        <w:t>We have three or four HMEP funded LEPC projects on the agenda.  We don’t send LEPCs money directly as a sub-award. Should these projects be identified on the application under #4 LEPCs Sub-Awards Information or under our Planning activities?</w:t>
      </w:r>
    </w:p>
    <w:p w:rsidR="009232FF" w:rsidRPr="00680780" w:rsidRDefault="00D3410E" w:rsidP="00D3410E">
      <w:pPr>
        <w:rPr>
          <w:rFonts w:ascii="Times New Roman" w:hAnsi="Times New Roman" w:cs="Times New Roman"/>
          <w:sz w:val="24"/>
          <w:szCs w:val="24"/>
        </w:rPr>
      </w:pPr>
      <w:r w:rsidRPr="00680780">
        <w:rPr>
          <w:rFonts w:ascii="Times New Roman" w:hAnsi="Times New Roman" w:cs="Times New Roman"/>
          <w:sz w:val="24"/>
          <w:szCs w:val="24"/>
        </w:rPr>
        <w:t xml:space="preserve">Response: If the applicant is expending the funds on behalf of the LEPCs it should not go under </w:t>
      </w:r>
      <w:r w:rsidR="00D14612" w:rsidRPr="00680780">
        <w:rPr>
          <w:rFonts w:ascii="Times New Roman" w:hAnsi="Times New Roman" w:cs="Times New Roman"/>
          <w:sz w:val="24"/>
          <w:szCs w:val="24"/>
        </w:rPr>
        <w:t xml:space="preserve">#4 </w:t>
      </w:r>
      <w:r w:rsidRPr="00680780">
        <w:rPr>
          <w:rFonts w:ascii="Times New Roman" w:hAnsi="Times New Roman" w:cs="Times New Roman"/>
          <w:sz w:val="24"/>
          <w:szCs w:val="24"/>
        </w:rPr>
        <w:t>sub-</w:t>
      </w:r>
      <w:r w:rsidR="00D14612" w:rsidRPr="00680780">
        <w:rPr>
          <w:rFonts w:ascii="Times New Roman" w:hAnsi="Times New Roman" w:cs="Times New Roman"/>
          <w:sz w:val="24"/>
          <w:szCs w:val="24"/>
        </w:rPr>
        <w:t>grantee activity information</w:t>
      </w:r>
      <w:r w:rsidR="00DE5DCB" w:rsidRPr="00680780">
        <w:rPr>
          <w:rFonts w:ascii="Times New Roman" w:hAnsi="Times New Roman" w:cs="Times New Roman"/>
          <w:sz w:val="24"/>
          <w:szCs w:val="24"/>
        </w:rPr>
        <w:t xml:space="preserve"> of the HMEP application form</w:t>
      </w:r>
      <w:r w:rsidR="00D14612" w:rsidRPr="00680780">
        <w:rPr>
          <w:rFonts w:ascii="Times New Roman" w:hAnsi="Times New Roman" w:cs="Times New Roman"/>
          <w:sz w:val="24"/>
          <w:szCs w:val="24"/>
        </w:rPr>
        <w:t xml:space="preserve">. The applicant should identify the activity in #3 </w:t>
      </w:r>
      <w:r w:rsidR="00DE5DCB" w:rsidRPr="00680780">
        <w:rPr>
          <w:rFonts w:ascii="Times New Roman" w:hAnsi="Times New Roman" w:cs="Times New Roman"/>
          <w:sz w:val="24"/>
          <w:szCs w:val="24"/>
        </w:rPr>
        <w:t>under grantee activity information of the application form.</w:t>
      </w:r>
    </w:p>
    <w:p w:rsidR="00D3410E" w:rsidRPr="00680780" w:rsidRDefault="00D3410E" w:rsidP="00D3410E">
      <w:pPr>
        <w:rPr>
          <w:rFonts w:ascii="Times New Roman" w:hAnsi="Times New Roman" w:cs="Times New Roman"/>
          <w:sz w:val="24"/>
          <w:szCs w:val="24"/>
        </w:rPr>
      </w:pPr>
      <w:r w:rsidRPr="00680780">
        <w:rPr>
          <w:rFonts w:ascii="Times New Roman" w:hAnsi="Times New Roman" w:cs="Times New Roman"/>
          <w:sz w:val="24"/>
          <w:szCs w:val="24"/>
        </w:rPr>
        <w:t xml:space="preserve"> </w:t>
      </w:r>
    </w:p>
    <w:p w:rsidR="00D3410E" w:rsidRPr="00680780" w:rsidRDefault="00DE5DCB" w:rsidP="00DE5DCB">
      <w:pPr>
        <w:pStyle w:val="ListParagraph"/>
        <w:numPr>
          <w:ilvl w:val="0"/>
          <w:numId w:val="1"/>
        </w:numPr>
        <w:rPr>
          <w:rFonts w:ascii="Times New Roman" w:hAnsi="Times New Roman" w:cs="Times New Roman"/>
          <w:sz w:val="24"/>
          <w:szCs w:val="24"/>
        </w:rPr>
      </w:pPr>
      <w:r w:rsidRPr="00680780">
        <w:rPr>
          <w:rFonts w:ascii="Times New Roman" w:hAnsi="Times New Roman" w:cs="Times New Roman"/>
          <w:sz w:val="24"/>
          <w:szCs w:val="24"/>
        </w:rPr>
        <w:t xml:space="preserve">We sometimes approve specialized field training (i.e., </w:t>
      </w:r>
      <w:proofErr w:type="spellStart"/>
      <w:r w:rsidRPr="00680780">
        <w:rPr>
          <w:rFonts w:ascii="Times New Roman" w:hAnsi="Times New Roman" w:cs="Times New Roman"/>
          <w:sz w:val="24"/>
          <w:szCs w:val="24"/>
        </w:rPr>
        <w:t>HazmatIQ</w:t>
      </w:r>
      <w:proofErr w:type="spellEnd"/>
      <w:r w:rsidRPr="00680780">
        <w:rPr>
          <w:rFonts w:ascii="Times New Roman" w:hAnsi="Times New Roman" w:cs="Times New Roman"/>
          <w:sz w:val="24"/>
          <w:szCs w:val="24"/>
        </w:rPr>
        <w:t xml:space="preserve"> or </w:t>
      </w:r>
      <w:proofErr w:type="spellStart"/>
      <w:r w:rsidRPr="00680780">
        <w:rPr>
          <w:rFonts w:ascii="Times New Roman" w:hAnsi="Times New Roman" w:cs="Times New Roman"/>
          <w:sz w:val="24"/>
          <w:szCs w:val="24"/>
        </w:rPr>
        <w:t>PropaneIQ</w:t>
      </w:r>
      <w:proofErr w:type="spellEnd"/>
      <w:r w:rsidRPr="00680780">
        <w:rPr>
          <w:rFonts w:ascii="Times New Roman" w:hAnsi="Times New Roman" w:cs="Times New Roman"/>
          <w:sz w:val="24"/>
          <w:szCs w:val="24"/>
        </w:rPr>
        <w:t xml:space="preserve">) for our active LEPCs. Should they be included in our Grantee Activity Information under Activities Supporting Program Goals or included in the next section for LEPCs Sub-Awards Information?  </w:t>
      </w:r>
    </w:p>
    <w:p w:rsidR="00DE5DCB" w:rsidRPr="00680780" w:rsidRDefault="00DE5DCB" w:rsidP="00DE5DCB">
      <w:pPr>
        <w:rPr>
          <w:rFonts w:ascii="Times New Roman" w:hAnsi="Times New Roman" w:cs="Times New Roman"/>
          <w:sz w:val="24"/>
          <w:szCs w:val="24"/>
        </w:rPr>
      </w:pPr>
      <w:r w:rsidRPr="00680780">
        <w:rPr>
          <w:rFonts w:ascii="Times New Roman" w:hAnsi="Times New Roman" w:cs="Times New Roman"/>
          <w:sz w:val="24"/>
          <w:szCs w:val="24"/>
        </w:rPr>
        <w:t xml:space="preserve">Response: </w:t>
      </w:r>
      <w:r w:rsidR="00B4487D" w:rsidRPr="00680780">
        <w:rPr>
          <w:rFonts w:ascii="Times New Roman" w:hAnsi="Times New Roman" w:cs="Times New Roman"/>
          <w:sz w:val="24"/>
          <w:szCs w:val="24"/>
        </w:rPr>
        <w:t xml:space="preserve">If the applicant is providing the specialized field trainings for the LEPCs then they should list the activities in #3 Grantee Activity Information; however if the applicant is providing the funding to the LEPCs by way of a </w:t>
      </w:r>
      <w:proofErr w:type="spellStart"/>
      <w:r w:rsidR="00B4487D" w:rsidRPr="00680780">
        <w:rPr>
          <w:rFonts w:ascii="Times New Roman" w:hAnsi="Times New Roman" w:cs="Times New Roman"/>
          <w:sz w:val="24"/>
          <w:szCs w:val="24"/>
        </w:rPr>
        <w:t>subaward</w:t>
      </w:r>
      <w:proofErr w:type="spellEnd"/>
      <w:r w:rsidR="00B4487D" w:rsidRPr="00680780">
        <w:rPr>
          <w:rFonts w:ascii="Times New Roman" w:hAnsi="Times New Roman" w:cs="Times New Roman"/>
          <w:sz w:val="24"/>
          <w:szCs w:val="24"/>
        </w:rPr>
        <w:t xml:space="preserve"> then the specialized field activities should be listed under #4 </w:t>
      </w:r>
      <w:proofErr w:type="spellStart"/>
      <w:r w:rsidR="00B4487D" w:rsidRPr="00680780">
        <w:rPr>
          <w:rFonts w:ascii="Times New Roman" w:hAnsi="Times New Roman" w:cs="Times New Roman"/>
          <w:sz w:val="24"/>
          <w:szCs w:val="24"/>
        </w:rPr>
        <w:t>subgrantee</w:t>
      </w:r>
      <w:proofErr w:type="spellEnd"/>
      <w:r w:rsidR="00B4487D" w:rsidRPr="00680780">
        <w:rPr>
          <w:rFonts w:ascii="Times New Roman" w:hAnsi="Times New Roman" w:cs="Times New Roman"/>
          <w:sz w:val="24"/>
          <w:szCs w:val="24"/>
        </w:rPr>
        <w:t xml:space="preserve"> activity information.</w:t>
      </w:r>
    </w:p>
    <w:p w:rsidR="00B4487D" w:rsidRPr="00680780" w:rsidRDefault="00B4487D" w:rsidP="00B4487D">
      <w:pPr>
        <w:pStyle w:val="ListParagraph"/>
        <w:numPr>
          <w:ilvl w:val="0"/>
          <w:numId w:val="1"/>
        </w:numPr>
        <w:rPr>
          <w:rFonts w:ascii="Times New Roman" w:hAnsi="Times New Roman" w:cs="Times New Roman"/>
          <w:sz w:val="24"/>
          <w:szCs w:val="24"/>
        </w:rPr>
      </w:pPr>
      <w:r w:rsidRPr="00680780">
        <w:rPr>
          <w:rFonts w:ascii="Times New Roman" w:hAnsi="Times New Roman" w:cs="Times New Roman"/>
          <w:sz w:val="24"/>
          <w:szCs w:val="24"/>
        </w:rPr>
        <w:t>We are ready to move forward with our commodity flow study. The project is expected to span three years. Should we list the amount of funding requested as Planning in the Grantee Activity Information section?</w:t>
      </w:r>
    </w:p>
    <w:p w:rsidR="00B4487D" w:rsidRDefault="00B4487D" w:rsidP="00B4487D">
      <w:pPr>
        <w:rPr>
          <w:rFonts w:ascii="Times New Roman" w:hAnsi="Times New Roman" w:cs="Times New Roman"/>
          <w:sz w:val="24"/>
          <w:szCs w:val="24"/>
        </w:rPr>
      </w:pPr>
      <w:r w:rsidRPr="00680780">
        <w:rPr>
          <w:rFonts w:ascii="Times New Roman" w:hAnsi="Times New Roman" w:cs="Times New Roman"/>
          <w:sz w:val="24"/>
          <w:szCs w:val="24"/>
        </w:rPr>
        <w:t>Response: Yes, the commodity flow study is a planning activity under the HMEP grant. The</w:t>
      </w:r>
      <w:r w:rsidR="000F0B7D">
        <w:rPr>
          <w:rFonts w:ascii="Times New Roman" w:hAnsi="Times New Roman" w:cs="Times New Roman"/>
          <w:sz w:val="24"/>
          <w:szCs w:val="24"/>
        </w:rPr>
        <w:t xml:space="preserve"> applicant </w:t>
      </w:r>
      <w:r w:rsidRPr="00680780">
        <w:rPr>
          <w:rFonts w:ascii="Times New Roman" w:hAnsi="Times New Roman" w:cs="Times New Roman"/>
          <w:sz w:val="24"/>
          <w:szCs w:val="24"/>
        </w:rPr>
        <w:t>should break out the expected cost for each year.</w:t>
      </w:r>
    </w:p>
    <w:p w:rsidR="00FE2C97" w:rsidRPr="00680780" w:rsidRDefault="00FE2C97" w:rsidP="00FE2C9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 just submitted the SF-424 to grants.gov, after I was done I looked at the printed form and found out on #7 d, I think I erroneously hit the incorrect state</w:t>
      </w:r>
      <w:r w:rsidRPr="00680780">
        <w:rPr>
          <w:rFonts w:ascii="Times New Roman" w:hAnsi="Times New Roman" w:cs="Times New Roman"/>
          <w:sz w:val="24"/>
          <w:szCs w:val="24"/>
        </w:rPr>
        <w:t>?</w:t>
      </w:r>
      <w:r>
        <w:rPr>
          <w:rFonts w:ascii="Times New Roman" w:hAnsi="Times New Roman" w:cs="Times New Roman"/>
          <w:sz w:val="24"/>
          <w:szCs w:val="24"/>
        </w:rPr>
        <w:t xml:space="preserve"> Will this matter? How will I be able to correct it?</w:t>
      </w:r>
    </w:p>
    <w:p w:rsidR="00FE2C97" w:rsidRDefault="00FE2C97" w:rsidP="00FE2C97">
      <w:pPr>
        <w:rPr>
          <w:rFonts w:ascii="Times New Roman" w:hAnsi="Times New Roman" w:cs="Times New Roman"/>
          <w:sz w:val="24"/>
          <w:szCs w:val="24"/>
        </w:rPr>
      </w:pPr>
      <w:r w:rsidRPr="00680780">
        <w:rPr>
          <w:rFonts w:ascii="Times New Roman" w:hAnsi="Times New Roman" w:cs="Times New Roman"/>
          <w:sz w:val="24"/>
          <w:szCs w:val="24"/>
        </w:rPr>
        <w:t xml:space="preserve">Response: </w:t>
      </w:r>
      <w:r w:rsidRPr="00FE2C97">
        <w:rPr>
          <w:rFonts w:ascii="Times New Roman" w:hAnsi="Times New Roman" w:cs="Times New Roman"/>
          <w:sz w:val="24"/>
          <w:szCs w:val="24"/>
        </w:rPr>
        <w:t xml:space="preserve">If </w:t>
      </w:r>
      <w:r>
        <w:rPr>
          <w:rFonts w:ascii="Times New Roman" w:hAnsi="Times New Roman" w:cs="Times New Roman"/>
          <w:sz w:val="24"/>
          <w:szCs w:val="24"/>
        </w:rPr>
        <w:t xml:space="preserve">an applicant is </w:t>
      </w:r>
      <w:r w:rsidRPr="00FE2C97">
        <w:rPr>
          <w:rFonts w:ascii="Times New Roman" w:hAnsi="Times New Roman" w:cs="Times New Roman"/>
          <w:sz w:val="24"/>
          <w:szCs w:val="24"/>
        </w:rPr>
        <w:t xml:space="preserve">aware of any errors in </w:t>
      </w:r>
      <w:r w:rsidR="005A12FA">
        <w:rPr>
          <w:rFonts w:ascii="Times New Roman" w:hAnsi="Times New Roman" w:cs="Times New Roman"/>
          <w:sz w:val="24"/>
          <w:szCs w:val="24"/>
        </w:rPr>
        <w:t>their</w:t>
      </w:r>
      <w:r w:rsidRPr="00FE2C97">
        <w:rPr>
          <w:rFonts w:ascii="Times New Roman" w:hAnsi="Times New Roman" w:cs="Times New Roman"/>
          <w:sz w:val="24"/>
          <w:szCs w:val="24"/>
        </w:rPr>
        <w:t xml:space="preserve"> application package to include Federal standard forms, you should contact the grants.gov helpdesk to see if they can pull your submission so you </w:t>
      </w:r>
      <w:r>
        <w:rPr>
          <w:rFonts w:ascii="Times New Roman" w:hAnsi="Times New Roman" w:cs="Times New Roman"/>
          <w:sz w:val="24"/>
          <w:szCs w:val="24"/>
        </w:rPr>
        <w:t>may</w:t>
      </w:r>
      <w:r w:rsidRPr="00FE2C97">
        <w:rPr>
          <w:rFonts w:ascii="Times New Roman" w:hAnsi="Times New Roman" w:cs="Times New Roman"/>
          <w:sz w:val="24"/>
          <w:szCs w:val="24"/>
        </w:rPr>
        <w:t xml:space="preserve"> make edits. If grants.gov is unable to retrieve you submission you can submit another application with the revisions.  PHMSA will review the latest application submitted by the applicant.</w:t>
      </w:r>
    </w:p>
    <w:p w:rsidR="00D527A0" w:rsidRPr="00D527A0" w:rsidRDefault="00D527A0" w:rsidP="00D527A0">
      <w:pPr>
        <w:pStyle w:val="ListParagraph"/>
        <w:numPr>
          <w:ilvl w:val="0"/>
          <w:numId w:val="1"/>
        </w:numPr>
        <w:rPr>
          <w:rFonts w:ascii="Times New Roman" w:hAnsi="Times New Roman" w:cs="Times New Roman"/>
          <w:sz w:val="24"/>
          <w:szCs w:val="24"/>
        </w:rPr>
      </w:pPr>
      <w:r w:rsidRPr="00D527A0">
        <w:rPr>
          <w:rFonts w:ascii="Times New Roman" w:hAnsi="Times New Roman" w:cs="Times New Roman"/>
          <w:sz w:val="24"/>
          <w:szCs w:val="24"/>
        </w:rPr>
        <w:t>The synopsis of the grant indicates that this is for States and Territories, I would like to know if Cities are also eligible to apply for this grant and if the closing date for application on May 24, 2019 could be extended.</w:t>
      </w:r>
    </w:p>
    <w:p w:rsidR="00D527A0" w:rsidRDefault="00D527A0" w:rsidP="00D527A0">
      <w:pPr>
        <w:rPr>
          <w:rFonts w:ascii="Times New Roman" w:hAnsi="Times New Roman" w:cs="Times New Roman"/>
          <w:sz w:val="24"/>
          <w:szCs w:val="24"/>
        </w:rPr>
      </w:pPr>
      <w:r>
        <w:rPr>
          <w:rFonts w:ascii="Times New Roman" w:hAnsi="Times New Roman" w:cs="Times New Roman"/>
          <w:sz w:val="24"/>
          <w:szCs w:val="24"/>
        </w:rPr>
        <w:t xml:space="preserve">Response: </w:t>
      </w:r>
      <w:r w:rsidR="00F87008">
        <w:rPr>
          <w:rFonts w:ascii="Times New Roman" w:hAnsi="Times New Roman" w:cs="Times New Roman"/>
          <w:sz w:val="24"/>
          <w:szCs w:val="24"/>
        </w:rPr>
        <w:t>Cities and</w:t>
      </w:r>
      <w:r w:rsidRPr="00D527A0">
        <w:rPr>
          <w:rFonts w:ascii="Times New Roman" w:hAnsi="Times New Roman" w:cs="Times New Roman"/>
          <w:sz w:val="24"/>
          <w:szCs w:val="24"/>
        </w:rPr>
        <w:t xml:space="preserve"> other types of </w:t>
      </w:r>
      <w:r w:rsidR="00F87008">
        <w:rPr>
          <w:rFonts w:ascii="Times New Roman" w:hAnsi="Times New Roman" w:cs="Times New Roman"/>
          <w:sz w:val="24"/>
          <w:szCs w:val="24"/>
        </w:rPr>
        <w:t xml:space="preserve">local </w:t>
      </w:r>
      <w:r w:rsidRPr="00D527A0">
        <w:rPr>
          <w:rFonts w:ascii="Times New Roman" w:hAnsi="Times New Roman" w:cs="Times New Roman"/>
          <w:sz w:val="24"/>
          <w:szCs w:val="24"/>
        </w:rPr>
        <w:t>municipalities cannot apply for the grant</w:t>
      </w:r>
      <w:r>
        <w:rPr>
          <w:rFonts w:ascii="Times New Roman" w:hAnsi="Times New Roman" w:cs="Times New Roman"/>
          <w:sz w:val="24"/>
          <w:szCs w:val="24"/>
        </w:rPr>
        <w:t xml:space="preserve"> from this funding opportunity directly</w:t>
      </w:r>
      <w:r w:rsidRPr="00D527A0">
        <w:rPr>
          <w:rFonts w:ascii="Times New Roman" w:hAnsi="Times New Roman" w:cs="Times New Roman"/>
          <w:sz w:val="24"/>
          <w:szCs w:val="24"/>
        </w:rPr>
        <w:t>, however, such entities are welcome to contact the state agency that administers the HMEP grant</w:t>
      </w:r>
      <w:r>
        <w:rPr>
          <w:rFonts w:ascii="Times New Roman" w:hAnsi="Times New Roman" w:cs="Times New Roman"/>
          <w:sz w:val="24"/>
          <w:szCs w:val="24"/>
        </w:rPr>
        <w:t xml:space="preserve"> </w:t>
      </w:r>
      <w:r w:rsidR="00F87008">
        <w:rPr>
          <w:rFonts w:ascii="Times New Roman" w:hAnsi="Times New Roman" w:cs="Times New Roman"/>
          <w:sz w:val="24"/>
          <w:szCs w:val="24"/>
        </w:rPr>
        <w:t xml:space="preserve">within the state or territory </w:t>
      </w:r>
      <w:r>
        <w:rPr>
          <w:rFonts w:ascii="Times New Roman" w:hAnsi="Times New Roman" w:cs="Times New Roman"/>
          <w:sz w:val="24"/>
          <w:szCs w:val="24"/>
        </w:rPr>
        <w:t>for any sub-grant opportunities once made available</w:t>
      </w:r>
      <w:r w:rsidRPr="00D527A0">
        <w:rPr>
          <w:rFonts w:ascii="Times New Roman" w:hAnsi="Times New Roman" w:cs="Times New Roman"/>
          <w:sz w:val="24"/>
          <w:szCs w:val="24"/>
        </w:rPr>
        <w:t xml:space="preserve">.  </w:t>
      </w:r>
    </w:p>
    <w:p w:rsidR="00D527A0" w:rsidRDefault="00AC74D5" w:rsidP="00AC74D5">
      <w:pPr>
        <w:pStyle w:val="ListParagraph"/>
        <w:numPr>
          <w:ilvl w:val="0"/>
          <w:numId w:val="1"/>
        </w:numPr>
        <w:rPr>
          <w:rFonts w:ascii="Times New Roman" w:hAnsi="Times New Roman" w:cs="Times New Roman"/>
          <w:sz w:val="24"/>
          <w:szCs w:val="24"/>
        </w:rPr>
      </w:pPr>
      <w:r w:rsidRPr="00AC74D5">
        <w:rPr>
          <w:rFonts w:ascii="Times New Roman" w:hAnsi="Times New Roman" w:cs="Times New Roman"/>
          <w:sz w:val="24"/>
          <w:szCs w:val="24"/>
        </w:rPr>
        <w:lastRenderedPageBreak/>
        <w:t>Can this grant can provide for the salary and fringe for time worked on grant projects?  In addition, do I need to provide a letter of support of applying for the HMEP as the Emergency Manager even though I as m applying for it?</w:t>
      </w:r>
    </w:p>
    <w:p w:rsidR="00AC74D5" w:rsidRDefault="00AC74D5" w:rsidP="00AC74D5">
      <w:pPr>
        <w:rPr>
          <w:color w:val="1F497D"/>
        </w:rPr>
      </w:pPr>
      <w:r>
        <w:rPr>
          <w:rFonts w:ascii="Times New Roman" w:hAnsi="Times New Roman" w:cs="Times New Roman"/>
          <w:sz w:val="24"/>
          <w:szCs w:val="24"/>
        </w:rPr>
        <w:t xml:space="preserve">Response:  </w:t>
      </w:r>
      <w:r w:rsidRPr="00AC74D5">
        <w:rPr>
          <w:rFonts w:ascii="Times New Roman" w:hAnsi="Times New Roman" w:cs="Times New Roman"/>
          <w:sz w:val="24"/>
          <w:szCs w:val="24"/>
        </w:rPr>
        <w:t xml:space="preserve">The Hazardous Materials Emergency Preparedness </w:t>
      </w:r>
      <w:r w:rsidR="008A4210">
        <w:rPr>
          <w:rFonts w:ascii="Times New Roman" w:hAnsi="Times New Roman" w:cs="Times New Roman"/>
          <w:sz w:val="24"/>
          <w:szCs w:val="24"/>
        </w:rPr>
        <w:t xml:space="preserve">(HMEP) </w:t>
      </w:r>
      <w:r w:rsidRPr="00AC74D5">
        <w:rPr>
          <w:rFonts w:ascii="Times New Roman" w:hAnsi="Times New Roman" w:cs="Times New Roman"/>
          <w:sz w:val="24"/>
          <w:szCs w:val="24"/>
        </w:rPr>
        <w:t>grant allows a 25% management and administration (M&amp;A) allocation for personnel to administer the grant of behalf of the entity of which the grant is made to.  Such personnel should be identified in the grant proposal as those who perform work to administer the grant to include their titles, duties for the grant, percentage of time dedicated to</w:t>
      </w:r>
      <w:r>
        <w:rPr>
          <w:rFonts w:ascii="Times New Roman" w:hAnsi="Times New Roman" w:cs="Times New Roman"/>
          <w:sz w:val="24"/>
          <w:szCs w:val="24"/>
        </w:rPr>
        <w:t>ward administering the grant in addition to</w:t>
      </w:r>
      <w:r w:rsidRPr="00AC74D5">
        <w:rPr>
          <w:rFonts w:ascii="Times New Roman" w:hAnsi="Times New Roman" w:cs="Times New Roman"/>
          <w:sz w:val="24"/>
          <w:szCs w:val="24"/>
        </w:rPr>
        <w:t xml:space="preserve"> the salary of each person</w:t>
      </w:r>
      <w:r>
        <w:rPr>
          <w:rFonts w:ascii="Times New Roman" w:hAnsi="Times New Roman" w:cs="Times New Roman"/>
          <w:sz w:val="24"/>
          <w:szCs w:val="24"/>
        </w:rPr>
        <w:t xml:space="preserve"> included</w:t>
      </w:r>
      <w:r w:rsidRPr="00AC74D5">
        <w:rPr>
          <w:rFonts w:ascii="Times New Roman" w:hAnsi="Times New Roman" w:cs="Times New Roman"/>
          <w:sz w:val="24"/>
          <w:szCs w:val="24"/>
        </w:rPr>
        <w:t xml:space="preserve">. </w:t>
      </w:r>
      <w:r>
        <w:rPr>
          <w:rFonts w:ascii="Times New Roman" w:hAnsi="Times New Roman" w:cs="Times New Roman"/>
          <w:sz w:val="24"/>
          <w:szCs w:val="24"/>
        </w:rPr>
        <w:t xml:space="preserve"> Once these persons have been identified, personnel and fringe benefit costs can be allocated for each member.  </w:t>
      </w:r>
    </w:p>
    <w:p w:rsidR="00AC74D5" w:rsidRPr="00AC74D5" w:rsidRDefault="00AC74D5" w:rsidP="00AC74D5">
      <w:pPr>
        <w:rPr>
          <w:rFonts w:ascii="Times New Roman" w:hAnsi="Times New Roman" w:cs="Times New Roman"/>
          <w:sz w:val="24"/>
          <w:szCs w:val="24"/>
        </w:rPr>
      </w:pPr>
    </w:p>
    <w:p w:rsidR="00D527A0" w:rsidRPr="00D527A0" w:rsidRDefault="00D527A0" w:rsidP="00D527A0">
      <w:pPr>
        <w:rPr>
          <w:rFonts w:ascii="Times New Roman" w:hAnsi="Times New Roman" w:cs="Times New Roman"/>
          <w:sz w:val="24"/>
          <w:szCs w:val="24"/>
        </w:rPr>
      </w:pPr>
    </w:p>
    <w:p w:rsidR="00FE2C97" w:rsidRPr="00B4487D" w:rsidRDefault="00FE2C97" w:rsidP="00B4487D">
      <w:pPr>
        <w:rPr>
          <w:rFonts w:ascii="Times New Roman" w:hAnsi="Times New Roman" w:cs="Times New Roman"/>
          <w:sz w:val="24"/>
          <w:szCs w:val="24"/>
        </w:rPr>
      </w:pPr>
    </w:p>
    <w:sectPr w:rsidR="00FE2C97" w:rsidRPr="00B4487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A5B" w:rsidRDefault="00446A5B" w:rsidP="008A38DD">
      <w:pPr>
        <w:spacing w:after="0" w:line="240" w:lineRule="auto"/>
      </w:pPr>
      <w:r>
        <w:separator/>
      </w:r>
    </w:p>
  </w:endnote>
  <w:endnote w:type="continuationSeparator" w:id="0">
    <w:p w:rsidR="00446A5B" w:rsidRDefault="00446A5B" w:rsidP="008A3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A5B" w:rsidRDefault="00446A5B" w:rsidP="008A38DD">
      <w:pPr>
        <w:spacing w:after="0" w:line="240" w:lineRule="auto"/>
      </w:pPr>
      <w:r>
        <w:separator/>
      </w:r>
    </w:p>
  </w:footnote>
  <w:footnote w:type="continuationSeparator" w:id="0">
    <w:p w:rsidR="00446A5B" w:rsidRDefault="00446A5B" w:rsidP="008A3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8DD" w:rsidRDefault="003A3156">
    <w:pPr>
      <w:pStyle w:val="Header"/>
    </w:pPr>
    <w:r>
      <w:t xml:space="preserve">HMEP States and Territories </w:t>
    </w:r>
    <w:r w:rsidR="008A38DD">
      <w:t>Questions Received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630F0"/>
    <w:multiLevelType w:val="hybridMultilevel"/>
    <w:tmpl w:val="E91C7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090045"/>
    <w:multiLevelType w:val="hybridMultilevel"/>
    <w:tmpl w:val="E91C73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1E117C"/>
    <w:multiLevelType w:val="hybridMultilevel"/>
    <w:tmpl w:val="99CA7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EE3"/>
    <w:rsid w:val="0008785A"/>
    <w:rsid w:val="000F0B7D"/>
    <w:rsid w:val="001855CD"/>
    <w:rsid w:val="002647C2"/>
    <w:rsid w:val="003A3156"/>
    <w:rsid w:val="00446A5B"/>
    <w:rsid w:val="00450F32"/>
    <w:rsid w:val="00467DF1"/>
    <w:rsid w:val="004854F5"/>
    <w:rsid w:val="005A12FA"/>
    <w:rsid w:val="006210BE"/>
    <w:rsid w:val="00680780"/>
    <w:rsid w:val="00746ED2"/>
    <w:rsid w:val="007C0631"/>
    <w:rsid w:val="007E057E"/>
    <w:rsid w:val="008A38DD"/>
    <w:rsid w:val="008A4210"/>
    <w:rsid w:val="008D5EE3"/>
    <w:rsid w:val="009232FF"/>
    <w:rsid w:val="00986800"/>
    <w:rsid w:val="009C2A3F"/>
    <w:rsid w:val="00A11460"/>
    <w:rsid w:val="00A546EA"/>
    <w:rsid w:val="00AC74D5"/>
    <w:rsid w:val="00AD5073"/>
    <w:rsid w:val="00B2542C"/>
    <w:rsid w:val="00B4487D"/>
    <w:rsid w:val="00D14612"/>
    <w:rsid w:val="00D3410E"/>
    <w:rsid w:val="00D527A0"/>
    <w:rsid w:val="00DE5DCB"/>
    <w:rsid w:val="00E25368"/>
    <w:rsid w:val="00F87008"/>
    <w:rsid w:val="00FE2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5D8918-A865-4A2D-81A4-CEC34E9E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EE3"/>
    <w:pPr>
      <w:ind w:left="720"/>
      <w:contextualSpacing/>
    </w:pPr>
  </w:style>
  <w:style w:type="character" w:styleId="CommentReference">
    <w:name w:val="annotation reference"/>
    <w:basedOn w:val="DefaultParagraphFont"/>
    <w:uiPriority w:val="99"/>
    <w:semiHidden/>
    <w:unhideWhenUsed/>
    <w:rsid w:val="00A11460"/>
    <w:rPr>
      <w:sz w:val="16"/>
      <w:szCs w:val="16"/>
    </w:rPr>
  </w:style>
  <w:style w:type="paragraph" w:styleId="CommentText">
    <w:name w:val="annotation text"/>
    <w:basedOn w:val="Normal"/>
    <w:link w:val="CommentTextChar"/>
    <w:uiPriority w:val="99"/>
    <w:semiHidden/>
    <w:unhideWhenUsed/>
    <w:rsid w:val="00A11460"/>
    <w:pPr>
      <w:spacing w:line="240" w:lineRule="auto"/>
    </w:pPr>
    <w:rPr>
      <w:sz w:val="20"/>
      <w:szCs w:val="20"/>
    </w:rPr>
  </w:style>
  <w:style w:type="character" w:customStyle="1" w:styleId="CommentTextChar">
    <w:name w:val="Comment Text Char"/>
    <w:basedOn w:val="DefaultParagraphFont"/>
    <w:link w:val="CommentText"/>
    <w:uiPriority w:val="99"/>
    <w:semiHidden/>
    <w:rsid w:val="00A11460"/>
    <w:rPr>
      <w:sz w:val="20"/>
      <w:szCs w:val="20"/>
    </w:rPr>
  </w:style>
  <w:style w:type="paragraph" w:styleId="CommentSubject">
    <w:name w:val="annotation subject"/>
    <w:basedOn w:val="CommentText"/>
    <w:next w:val="CommentText"/>
    <w:link w:val="CommentSubjectChar"/>
    <w:uiPriority w:val="99"/>
    <w:semiHidden/>
    <w:unhideWhenUsed/>
    <w:rsid w:val="00A11460"/>
    <w:rPr>
      <w:b/>
      <w:bCs/>
    </w:rPr>
  </w:style>
  <w:style w:type="character" w:customStyle="1" w:styleId="CommentSubjectChar">
    <w:name w:val="Comment Subject Char"/>
    <w:basedOn w:val="CommentTextChar"/>
    <w:link w:val="CommentSubject"/>
    <w:uiPriority w:val="99"/>
    <w:semiHidden/>
    <w:rsid w:val="00A11460"/>
    <w:rPr>
      <w:b/>
      <w:bCs/>
      <w:sz w:val="20"/>
      <w:szCs w:val="20"/>
    </w:rPr>
  </w:style>
  <w:style w:type="paragraph" w:styleId="BalloonText">
    <w:name w:val="Balloon Text"/>
    <w:basedOn w:val="Normal"/>
    <w:link w:val="BalloonTextChar"/>
    <w:uiPriority w:val="99"/>
    <w:semiHidden/>
    <w:unhideWhenUsed/>
    <w:rsid w:val="00A114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460"/>
    <w:rPr>
      <w:rFonts w:ascii="Segoe UI" w:hAnsi="Segoe UI" w:cs="Segoe UI"/>
      <w:sz w:val="18"/>
      <w:szCs w:val="18"/>
    </w:rPr>
  </w:style>
  <w:style w:type="paragraph" w:styleId="Header">
    <w:name w:val="header"/>
    <w:basedOn w:val="Normal"/>
    <w:link w:val="HeaderChar"/>
    <w:uiPriority w:val="99"/>
    <w:unhideWhenUsed/>
    <w:rsid w:val="008A3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8DD"/>
  </w:style>
  <w:style w:type="paragraph" w:styleId="Footer">
    <w:name w:val="footer"/>
    <w:basedOn w:val="Normal"/>
    <w:link w:val="FooterChar"/>
    <w:uiPriority w:val="99"/>
    <w:unhideWhenUsed/>
    <w:rsid w:val="008A3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6919">
      <w:bodyDiv w:val="1"/>
      <w:marLeft w:val="0"/>
      <w:marRight w:val="0"/>
      <w:marTop w:val="0"/>
      <w:marBottom w:val="0"/>
      <w:divBdr>
        <w:top w:val="none" w:sz="0" w:space="0" w:color="auto"/>
        <w:left w:val="none" w:sz="0" w:space="0" w:color="auto"/>
        <w:bottom w:val="none" w:sz="0" w:space="0" w:color="auto"/>
        <w:right w:val="none" w:sz="0" w:space="0" w:color="auto"/>
      </w:divBdr>
    </w:div>
    <w:div w:id="30349680">
      <w:bodyDiv w:val="1"/>
      <w:marLeft w:val="0"/>
      <w:marRight w:val="0"/>
      <w:marTop w:val="0"/>
      <w:marBottom w:val="0"/>
      <w:divBdr>
        <w:top w:val="none" w:sz="0" w:space="0" w:color="auto"/>
        <w:left w:val="none" w:sz="0" w:space="0" w:color="auto"/>
        <w:bottom w:val="none" w:sz="0" w:space="0" w:color="auto"/>
        <w:right w:val="none" w:sz="0" w:space="0" w:color="auto"/>
      </w:divBdr>
    </w:div>
    <w:div w:id="146751445">
      <w:bodyDiv w:val="1"/>
      <w:marLeft w:val="0"/>
      <w:marRight w:val="0"/>
      <w:marTop w:val="0"/>
      <w:marBottom w:val="0"/>
      <w:divBdr>
        <w:top w:val="none" w:sz="0" w:space="0" w:color="auto"/>
        <w:left w:val="none" w:sz="0" w:space="0" w:color="auto"/>
        <w:bottom w:val="none" w:sz="0" w:space="0" w:color="auto"/>
        <w:right w:val="none" w:sz="0" w:space="0" w:color="auto"/>
      </w:divBdr>
    </w:div>
    <w:div w:id="442574193">
      <w:bodyDiv w:val="1"/>
      <w:marLeft w:val="0"/>
      <w:marRight w:val="0"/>
      <w:marTop w:val="0"/>
      <w:marBottom w:val="0"/>
      <w:divBdr>
        <w:top w:val="none" w:sz="0" w:space="0" w:color="auto"/>
        <w:left w:val="none" w:sz="0" w:space="0" w:color="auto"/>
        <w:bottom w:val="none" w:sz="0" w:space="0" w:color="auto"/>
        <w:right w:val="none" w:sz="0" w:space="0" w:color="auto"/>
      </w:divBdr>
    </w:div>
    <w:div w:id="661006729">
      <w:bodyDiv w:val="1"/>
      <w:marLeft w:val="0"/>
      <w:marRight w:val="0"/>
      <w:marTop w:val="0"/>
      <w:marBottom w:val="0"/>
      <w:divBdr>
        <w:top w:val="none" w:sz="0" w:space="0" w:color="auto"/>
        <w:left w:val="none" w:sz="0" w:space="0" w:color="auto"/>
        <w:bottom w:val="none" w:sz="0" w:space="0" w:color="auto"/>
        <w:right w:val="none" w:sz="0" w:space="0" w:color="auto"/>
      </w:divBdr>
    </w:div>
    <w:div w:id="754786272">
      <w:bodyDiv w:val="1"/>
      <w:marLeft w:val="0"/>
      <w:marRight w:val="0"/>
      <w:marTop w:val="0"/>
      <w:marBottom w:val="0"/>
      <w:divBdr>
        <w:top w:val="none" w:sz="0" w:space="0" w:color="auto"/>
        <w:left w:val="none" w:sz="0" w:space="0" w:color="auto"/>
        <w:bottom w:val="none" w:sz="0" w:space="0" w:color="auto"/>
        <w:right w:val="none" w:sz="0" w:space="0" w:color="auto"/>
      </w:divBdr>
    </w:div>
    <w:div w:id="1753044564">
      <w:bodyDiv w:val="1"/>
      <w:marLeft w:val="0"/>
      <w:marRight w:val="0"/>
      <w:marTop w:val="0"/>
      <w:marBottom w:val="0"/>
      <w:divBdr>
        <w:top w:val="none" w:sz="0" w:space="0" w:color="auto"/>
        <w:left w:val="none" w:sz="0" w:space="0" w:color="auto"/>
        <w:bottom w:val="none" w:sz="0" w:space="0" w:color="auto"/>
        <w:right w:val="none" w:sz="0" w:space="0" w:color="auto"/>
      </w:divBdr>
    </w:div>
    <w:div w:id="1818034225">
      <w:bodyDiv w:val="1"/>
      <w:marLeft w:val="0"/>
      <w:marRight w:val="0"/>
      <w:marTop w:val="0"/>
      <w:marBottom w:val="0"/>
      <w:divBdr>
        <w:top w:val="none" w:sz="0" w:space="0" w:color="auto"/>
        <w:left w:val="none" w:sz="0" w:space="0" w:color="auto"/>
        <w:bottom w:val="none" w:sz="0" w:space="0" w:color="auto"/>
        <w:right w:val="none" w:sz="0" w:space="0" w:color="auto"/>
      </w:divBdr>
    </w:div>
    <w:div w:id="2012678710">
      <w:bodyDiv w:val="1"/>
      <w:marLeft w:val="0"/>
      <w:marRight w:val="0"/>
      <w:marTop w:val="0"/>
      <w:marBottom w:val="0"/>
      <w:divBdr>
        <w:top w:val="none" w:sz="0" w:space="0" w:color="auto"/>
        <w:left w:val="none" w:sz="0" w:space="0" w:color="auto"/>
        <w:bottom w:val="none" w:sz="0" w:space="0" w:color="auto"/>
        <w:right w:val="none" w:sz="0" w:space="0" w:color="auto"/>
      </w:divBdr>
      <w:divsChild>
        <w:div w:id="1750343329">
          <w:marLeft w:val="240"/>
          <w:marRight w:val="0"/>
          <w:marTop w:val="60"/>
          <w:marBottom w:val="60"/>
          <w:divBdr>
            <w:top w:val="none" w:sz="0" w:space="0" w:color="auto"/>
            <w:left w:val="none" w:sz="0" w:space="0" w:color="auto"/>
            <w:bottom w:val="none" w:sz="0" w:space="0" w:color="auto"/>
            <w:right w:val="none" w:sz="0" w:space="0" w:color="auto"/>
          </w:divBdr>
          <w:divsChild>
            <w:div w:id="1340236476">
              <w:marLeft w:val="0"/>
              <w:marRight w:val="0"/>
              <w:marTop w:val="0"/>
              <w:marBottom w:val="0"/>
              <w:divBdr>
                <w:top w:val="none" w:sz="0" w:space="0" w:color="auto"/>
                <w:left w:val="none" w:sz="0" w:space="0" w:color="auto"/>
                <w:bottom w:val="none" w:sz="0" w:space="0" w:color="auto"/>
                <w:right w:val="none" w:sz="0" w:space="0" w:color="auto"/>
              </w:divBdr>
            </w:div>
          </w:divsChild>
        </w:div>
        <w:div w:id="1870482691">
          <w:marLeft w:val="240"/>
          <w:marRight w:val="0"/>
          <w:marTop w:val="60"/>
          <w:marBottom w:val="60"/>
          <w:divBdr>
            <w:top w:val="none" w:sz="0" w:space="0" w:color="auto"/>
            <w:left w:val="none" w:sz="0" w:space="0" w:color="auto"/>
            <w:bottom w:val="none" w:sz="0" w:space="0" w:color="auto"/>
            <w:right w:val="none" w:sz="0" w:space="0" w:color="auto"/>
          </w:divBdr>
          <w:divsChild>
            <w:div w:id="7021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35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Shakira (PHMSA)</dc:creator>
  <cp:keywords/>
  <dc:description/>
  <cp:lastModifiedBy>Jones, Stephen CTR (PHMSA)</cp:lastModifiedBy>
  <cp:revision>2</cp:revision>
  <dcterms:created xsi:type="dcterms:W3CDTF">2019-05-13T15:04:00Z</dcterms:created>
  <dcterms:modified xsi:type="dcterms:W3CDTF">2019-05-13T15:04:00Z</dcterms:modified>
</cp:coreProperties>
</file>