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734B0819"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4204DE">
        <w:rPr>
          <w:rFonts w:ascii="Times New Roman" w:eastAsia="Times New Roman" w:hAnsi="Times New Roman" w:cs="Times New Roman"/>
          <w:sz w:val="24"/>
          <w:szCs w:val="24"/>
        </w:rPr>
        <w:t>BHR: Mexico United 2026</w:t>
      </w:r>
    </w:p>
    <w:p w14:paraId="7ED66348" w14:textId="77777777" w:rsidR="00290D8C" w:rsidRDefault="00290D8C">
      <w:pPr>
        <w:spacing w:after="0" w:line="240" w:lineRule="auto"/>
        <w:jc w:val="center"/>
      </w:pPr>
    </w:p>
    <w:p w14:paraId="01ABC376" w14:textId="24155CE8"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3A6815" w:rsidRPr="003A6815">
        <w:rPr>
          <w:rFonts w:ascii="Times New Roman" w:eastAsia="Times New Roman" w:hAnsi="Times New Roman" w:cs="Times New Roman"/>
          <w:b/>
          <w:sz w:val="24"/>
          <w:szCs w:val="24"/>
        </w:rPr>
        <w:t>SFOP0006845</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0021E94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FC61B7">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3711A08D"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7A69F5">
        <w:rPr>
          <w:rFonts w:ascii="Times New Roman" w:eastAsia="Times New Roman" w:hAnsi="Times New Roman" w:cs="Times New Roman"/>
          <w:sz w:val="24"/>
          <w:szCs w:val="24"/>
        </w:rPr>
        <w:t>T on Monday</w:t>
      </w:r>
      <w:r w:rsidR="0062465D">
        <w:rPr>
          <w:rFonts w:ascii="Times New Roman" w:eastAsia="Times New Roman" w:hAnsi="Times New Roman" w:cs="Times New Roman"/>
          <w:sz w:val="24"/>
          <w:szCs w:val="24"/>
        </w:rPr>
        <w:t xml:space="preserve">, </w:t>
      </w:r>
      <w:r w:rsidR="007A69F5" w:rsidRPr="007A69F5">
        <w:rPr>
          <w:rFonts w:ascii="Times New Roman" w:eastAsia="Times New Roman" w:hAnsi="Times New Roman" w:cs="Times New Roman"/>
          <w:sz w:val="24"/>
          <w:szCs w:val="24"/>
        </w:rPr>
        <w:t>June 8</w:t>
      </w:r>
      <w:r w:rsidR="0062465D" w:rsidRPr="007A69F5">
        <w:rPr>
          <w:rFonts w:ascii="Times New Roman" w:eastAsia="Times New Roman" w:hAnsi="Times New Roman" w:cs="Times New Roman"/>
          <w:sz w:val="24"/>
          <w:szCs w:val="24"/>
        </w:rPr>
        <w:t xml:space="preserve">, </w:t>
      </w:r>
      <w:r w:rsidR="007A69F5" w:rsidRPr="007A69F5">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292DD774"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4204DE">
        <w:rPr>
          <w:rFonts w:ascii="Times New Roman" w:eastAsia="Times New Roman" w:hAnsi="Times New Roman" w:cs="Times New Roman"/>
          <w:sz w:val="24"/>
          <w:szCs w:val="24"/>
        </w:rPr>
        <w:t>625</w:t>
      </w:r>
      <w:r w:rsidR="002E565E">
        <w:rPr>
          <w:rFonts w:ascii="Times New Roman" w:eastAsia="Times New Roman" w:hAnsi="Times New Roman" w:cs="Times New Roman"/>
          <w:sz w:val="24"/>
          <w:szCs w:val="24"/>
        </w:rPr>
        <w:t>,000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090CF66E"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4204DE">
        <w:rPr>
          <w:rFonts w:ascii="Times New Roman" w:eastAsia="Times New Roman" w:hAnsi="Times New Roman" w:cs="Times New Roman"/>
          <w:sz w:val="24"/>
          <w:szCs w:val="24"/>
        </w:rPr>
        <w:t>625</w:t>
      </w:r>
      <w:r w:rsidR="002E565E">
        <w:rPr>
          <w:rFonts w:ascii="Times New Roman" w:eastAsia="Times New Roman" w:hAnsi="Times New Roman" w:cs="Times New Roman"/>
          <w:sz w:val="24"/>
          <w:szCs w:val="24"/>
        </w:rPr>
        <w:t>,000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5B3F9CD0"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2E565E">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0921BEE7"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2E565E">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370EE7D7"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4204DE">
        <w:rPr>
          <w:rFonts w:ascii="Times New Roman" w:eastAsia="Times New Roman" w:hAnsi="Times New Roman" w:cs="Times New Roman"/>
          <w:sz w:val="24"/>
          <w:szCs w:val="24"/>
        </w:rPr>
        <w:t>24-30</w:t>
      </w:r>
      <w:r w:rsidR="005A2652" w:rsidRPr="002E565E">
        <w:rPr>
          <w:rFonts w:ascii="Times New Roman" w:eastAsia="Times New Roman" w:hAnsi="Times New Roman" w:cs="Times New Roman"/>
          <w:sz w:val="24"/>
          <w:szCs w:val="24"/>
        </w:rPr>
        <w:t xml:space="preserve">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E78714F"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4204DE">
        <w:rPr>
          <w:rFonts w:ascii="Times New Roman" w:eastAsia="Times New Roman" w:hAnsi="Times New Roman" w:cs="Times New Roman"/>
          <w:sz w:val="24"/>
          <w:szCs w:val="24"/>
        </w:rPr>
        <w:t>August-September 2020</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Pr="004204DE" w:rsidRDefault="00290D8C">
      <w:pPr>
        <w:spacing w:after="0" w:line="240" w:lineRule="auto"/>
        <w:rPr>
          <w:rFonts w:ascii="Times New Roman" w:hAnsi="Times New Roman" w:cs="Times New Roman"/>
          <w:sz w:val="24"/>
          <w:szCs w:val="24"/>
        </w:rPr>
      </w:pPr>
    </w:p>
    <w:p w14:paraId="17668BBE"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The U.S. Department of State, Bureau of Democracy, Human Rights and Labor (DRL) announces an open competition for organizations interested in submitting applications for projects in Mexico to support realization of the labor rights commitments included in the United 2026 Human Rights Strategy for the 2026 FIFA World Cup.</w:t>
      </w:r>
    </w:p>
    <w:p w14:paraId="540BBC48" w14:textId="77777777" w:rsidR="004204DE" w:rsidRPr="004204DE" w:rsidRDefault="004204DE" w:rsidP="004204DE">
      <w:pPr>
        <w:spacing w:after="0" w:line="240" w:lineRule="auto"/>
        <w:rPr>
          <w:rFonts w:ascii="Times New Roman" w:hAnsi="Times New Roman" w:cs="Times New Roman"/>
          <w:color w:val="auto"/>
          <w:sz w:val="24"/>
          <w:szCs w:val="24"/>
        </w:rPr>
      </w:pPr>
    </w:p>
    <w:p w14:paraId="61430233"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In 2018, FIFA included extensive human rights criteria in its bid requirements for potential World Cup 2026 host countries and cities – an important step in advancing human rights in the context of mega-sporting events.  The winning United 2026 bid (the United States, Canada, and Mexico) incorporated a strong human rights strategy that addresses all aspects of human rights risks in the lifecycle of World Cup 2026, including a goal to ensure internationally recognized labor standards, including freedom of association, “are respected in relation to all those working on any activity related to the delivery of the Competition, and that cities, stadiums, and other employers implement best practices on a range of other labor issues labor [sic] including paying a living wage.  Workers of any status should be able to raise issues related to their employment.”</w:t>
      </w:r>
      <w:r w:rsidRPr="004204DE">
        <w:rPr>
          <w:rFonts w:ascii="Times New Roman" w:hAnsi="Times New Roman" w:cs="Times New Roman"/>
          <w:color w:val="auto"/>
          <w:sz w:val="24"/>
          <w:szCs w:val="24"/>
          <w:vertAlign w:val="superscript"/>
        </w:rPr>
        <w:footnoteReference w:id="1"/>
      </w:r>
      <w:r w:rsidRPr="004204DE">
        <w:rPr>
          <w:rFonts w:ascii="Times New Roman" w:hAnsi="Times New Roman" w:cs="Times New Roman"/>
          <w:color w:val="auto"/>
          <w:sz w:val="24"/>
          <w:szCs w:val="24"/>
        </w:rPr>
        <w:t xml:space="preserve">  The United 2026 Human Rights Strategy provides an unprecedented opportunity to establish a model for addressing labor rights risks in mega-sporting events and for using the </w:t>
      </w:r>
      <w:r w:rsidRPr="004204DE">
        <w:rPr>
          <w:rFonts w:ascii="Times New Roman" w:hAnsi="Times New Roman" w:cs="Times New Roman"/>
          <w:color w:val="auto"/>
          <w:sz w:val="24"/>
          <w:szCs w:val="24"/>
        </w:rPr>
        <w:lastRenderedPageBreak/>
        <w:t xml:space="preserve">games as a catalyst to promote high labor standards and best practices by host governments and employers that last long after the games have ended. </w:t>
      </w:r>
    </w:p>
    <w:p w14:paraId="62B85BE1" w14:textId="77777777" w:rsidR="004204DE" w:rsidRPr="004204DE" w:rsidRDefault="004204DE" w:rsidP="004204DE">
      <w:pPr>
        <w:spacing w:after="0" w:line="240" w:lineRule="auto"/>
        <w:rPr>
          <w:rFonts w:ascii="Times New Roman" w:hAnsi="Times New Roman" w:cs="Times New Roman"/>
          <w:color w:val="auto"/>
          <w:sz w:val="24"/>
          <w:szCs w:val="24"/>
        </w:rPr>
      </w:pPr>
    </w:p>
    <w:p w14:paraId="55A9C285"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DRL requests proposals for a $625,000 project to support civil society in Mexico to ensure Mexico’s commitment to respect internationally recognized worker rights, as included in the United 2026 Human Rights Strategy, is upheld and creates lasting change for workers’ rights in the country.  Projects should support the involvement of labor rights stakeholders, including independent trade unions, workers’ associations, labor rights defenders and organizations, and individual organizers and activists, throughout all processes to assist with meeting the aims of the strategy’s proposed actions to embed, identify, prevent, mitigate, and account for the labor rights impacts of the United 2026 games.  Project should also aim to build the capacity of independent labor unions.  Programs should imbed or advocate for worker, independent union, and civil society involvement in developing and implementing the strategy’s proposed plan for ensuring that internationally recognized worker rights, including freedom of association, are respected throughout development and implementation of the United 2026 games.  This should include worker, independent union, and civil society input into and assessment of host city strategies for respecting labor rights risks identified in the strategy.</w:t>
      </w:r>
    </w:p>
    <w:p w14:paraId="6C9844DA" w14:textId="77777777" w:rsidR="004204DE" w:rsidRPr="004204DE" w:rsidRDefault="004204DE" w:rsidP="004204DE">
      <w:pPr>
        <w:spacing w:after="0" w:line="240" w:lineRule="auto"/>
        <w:rPr>
          <w:rFonts w:ascii="Times New Roman" w:hAnsi="Times New Roman" w:cs="Times New Roman"/>
          <w:color w:val="auto"/>
          <w:sz w:val="24"/>
          <w:szCs w:val="24"/>
        </w:rPr>
      </w:pPr>
    </w:p>
    <w:p w14:paraId="2896458D"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 xml:space="preserve">Activities may include, but are not limited to: educating workers about their rights, including those related to subcontracting, and how to protect them under Mexican labor law and international labor standards; building the capacity of independent labor unions, including those that engage with outsourcing companies and subcontracted workers; developing a civil society labor advisory network in Mexico; educating civil society actors, workers, and unions about the United 2026 human rights strategy and business and human rights principles, with a focus on internationally recognized worker rights, and taking into account the comprehensive Federal Labor Law reform enacted in Mexico in 2019; empowering civil society actors to engage more effectively with businesses, government, and other stakeholders regarding the labor rights commitments of the strategy; advocating for worker, independent union, and civil society involvement in defining and strengthening grievance mechanisms and responses to violations of labor rights related to the development and operation of the games, including through linkages to existing federal and local government labor complaints mechanisms; and strengthening the role of workers, independent unions, and civil society in monitoring, reporting, and combatting labor and human rights abuses, including abusive subcontracting, related to the games. </w:t>
      </w:r>
    </w:p>
    <w:p w14:paraId="27F6EA7F" w14:textId="77777777" w:rsidR="004204DE" w:rsidRPr="004204DE" w:rsidRDefault="004204DE" w:rsidP="004204DE">
      <w:pPr>
        <w:spacing w:after="0" w:line="240" w:lineRule="auto"/>
        <w:rPr>
          <w:rFonts w:ascii="Times New Roman" w:hAnsi="Times New Roman" w:cs="Times New Roman"/>
          <w:color w:val="auto"/>
          <w:sz w:val="24"/>
          <w:szCs w:val="24"/>
        </w:rPr>
      </w:pPr>
    </w:p>
    <w:p w14:paraId="468ECD6C"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Competitive programs will partner with or be implemented by local Mexican civil society organizations and other key stakeholders.  Proposals should demonstrate how the project will gain access to and coordinate with relevant stakeholders committed to upholding internationally recognized worker rights throughout the lifecycle of the tournament.  Applicants should demonstrate a robust understanding of Mexico’s newest labor law reforms, and proposals must clearly describe how they will coordinate with and/or leverage existing efforts in this space.  Applicants or their partners must also demonstrate experience building the capacity of labor unions.</w:t>
      </w:r>
    </w:p>
    <w:p w14:paraId="6F6B866B" w14:textId="77777777" w:rsidR="004204DE" w:rsidRPr="004204DE" w:rsidRDefault="004204DE" w:rsidP="004204DE">
      <w:pPr>
        <w:spacing w:after="0" w:line="240" w:lineRule="auto"/>
        <w:rPr>
          <w:rFonts w:ascii="Times New Roman" w:hAnsi="Times New Roman" w:cs="Times New Roman"/>
          <w:color w:val="auto"/>
          <w:sz w:val="24"/>
          <w:szCs w:val="24"/>
        </w:rPr>
      </w:pPr>
    </w:p>
    <w:p w14:paraId="0B109D14" w14:textId="77777777" w:rsidR="004204DE" w:rsidRPr="004204DE" w:rsidRDefault="004204DE" w:rsidP="004204DE">
      <w:pPr>
        <w:spacing w:after="0" w:line="240" w:lineRule="auto"/>
        <w:rPr>
          <w:rFonts w:ascii="Times New Roman" w:hAnsi="Times New Roman" w:cs="Times New Roman"/>
          <w:color w:val="auto"/>
          <w:sz w:val="24"/>
          <w:szCs w:val="24"/>
        </w:rPr>
      </w:pPr>
      <w:r w:rsidRPr="004204DE">
        <w:rPr>
          <w:rFonts w:ascii="Times New Roman" w:hAnsi="Times New Roman" w:cs="Times New Roman"/>
          <w:color w:val="auto"/>
          <w:sz w:val="24"/>
          <w:szCs w:val="24"/>
        </w:rPr>
        <w:t>Project may choose to focus on a specific sector(s); however, well-developed proposals will include strategies for multiplying the impact of project activities and sustaining project results beyond the life of the project.</w:t>
      </w:r>
    </w:p>
    <w:p w14:paraId="76573D89" w14:textId="77777777" w:rsidR="00BD64BA" w:rsidRPr="004204DE" w:rsidRDefault="00BD64BA" w:rsidP="00473E00">
      <w:pPr>
        <w:spacing w:after="0" w:line="240" w:lineRule="auto"/>
        <w:rPr>
          <w:rFonts w:ascii="Times New Roman" w:hAnsi="Times New Roman" w:cs="Times New Roman"/>
          <w:color w:val="auto"/>
          <w:sz w:val="24"/>
          <w:szCs w:val="24"/>
        </w:rPr>
      </w:pPr>
    </w:p>
    <w:p w14:paraId="106D5DAB" w14:textId="73FFB68D" w:rsidR="0035360E" w:rsidRDefault="00A935C5" w:rsidP="004204DE">
      <w:pPr>
        <w:spacing w:after="0" w:line="240" w:lineRule="auto"/>
        <w:rPr>
          <w:rFonts w:ascii="Times New Roman" w:hAnsi="Times New Roman" w:cs="Times New Roman"/>
          <w:sz w:val="24"/>
          <w:szCs w:val="24"/>
        </w:rPr>
      </w:pPr>
      <w:r w:rsidRPr="004204DE">
        <w:rPr>
          <w:rFonts w:ascii="Times New Roman" w:hAnsi="Times New Roman" w:cs="Times New Roman"/>
          <w:sz w:val="24"/>
          <w:szCs w:val="24"/>
        </w:rPr>
        <w:t>A</w:t>
      </w:r>
      <w:r>
        <w:rPr>
          <w:rFonts w:ascii="Times New Roman" w:hAnsi="Times New Roman" w:cs="Times New Roman"/>
          <w:sz w:val="24"/>
          <w:szCs w:val="24"/>
        </w:rPr>
        <w:t xml:space="preserve">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340B396F" w14:textId="77777777" w:rsidR="004204DE" w:rsidRDefault="004204DE" w:rsidP="004204DE">
      <w:pPr>
        <w:spacing w:after="0" w:line="240" w:lineRule="auto"/>
        <w:rPr>
          <w:rFonts w:ascii="Times New Roman" w:hAnsi="Times New Roman" w:cs="Times New Roman"/>
          <w:sz w:val="24"/>
          <w:szCs w:val="24"/>
        </w:rPr>
      </w:pPr>
    </w:p>
    <w:p w14:paraId="2DA419DE" w14:textId="7D4A48B3" w:rsidR="0035360E" w:rsidRDefault="0035360E" w:rsidP="004204DE">
      <w:pPr>
        <w:pStyle w:val="NormalWeb"/>
        <w:shd w:val="clear" w:color="auto" w:fill="FFFFFF"/>
        <w:spacing w:before="0" w:beforeAutospacing="0" w:after="0" w:afterAutospacing="0"/>
        <w:ind w:firstLine="0"/>
      </w:pPr>
      <w:r w:rsidRPr="007A38CE">
        <w:t xml:space="preserve">Competitive proposals may also include a summary budget and budget narrative for </w:t>
      </w:r>
      <w:r w:rsidR="004204DE">
        <w:t xml:space="preserve">up to 12 </w:t>
      </w:r>
      <w:r w:rsidRPr="007A38CE">
        <w:t>additional months following the proposed period of performance, indicated above.  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Initiatives directed towards a diaspora community rather than current residents of </w:t>
      </w:r>
      <w:r>
        <w:rPr>
          <w:rFonts w:ascii="Times New Roman" w:eastAsia="Times New Roman" w:hAnsi="Times New Roman" w:cs="Times New Roman"/>
          <w:sz w:val="24"/>
          <w:szCs w:val="24"/>
        </w:rPr>
        <w:lastRenderedPageBreak/>
        <w:t>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26A1AC5E"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w:t>
      </w:r>
      <w:r w:rsidR="00401EC8" w:rsidRPr="004204DE">
        <w:rPr>
          <w:rFonts w:ascii="Times New Roman" w:eastAsia="Times New Roman" w:hAnsi="Times New Roman" w:cs="Times New Roman"/>
          <w:sz w:val="24"/>
          <w:szCs w:val="24"/>
        </w:rPr>
        <w:t xml:space="preserve">submit </w:t>
      </w:r>
      <w:r w:rsidR="004204DE" w:rsidRPr="004204DE">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137D7C">
        <w:rPr>
          <w:rFonts w:ascii="Times New Roman" w:eastAsia="Times New Roman" w:hAnsi="Times New Roman" w:cs="Times New Roman"/>
          <w:sz w:val="24"/>
          <w:szCs w:val="24"/>
        </w:rPr>
        <w:t xml:space="preserve">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7EC064B"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lastRenderedPageBreak/>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6E4602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Pr="007A69F5">
        <w:rPr>
          <w:rFonts w:ascii="Times New Roman" w:eastAsia="Times New Roman" w:hAnsi="Times New Roman" w:cs="Times New Roman"/>
          <w:sz w:val="24"/>
          <w:szCs w:val="24"/>
        </w:rPr>
        <w:t>“</w:t>
      </w:r>
      <w:r w:rsidR="007A69F5" w:rsidRPr="007A69F5">
        <w:rPr>
          <w:rFonts w:ascii="Times New Roman" w:eastAsia="Times New Roman" w:hAnsi="Times New Roman" w:cs="Times New Roman"/>
          <w:sz w:val="24"/>
          <w:szCs w:val="24"/>
        </w:rPr>
        <w:t>DRL BHR: Mexico United 2026</w:t>
      </w:r>
      <w:r w:rsidR="00F933DA" w:rsidRPr="007A69F5">
        <w:rPr>
          <w:rFonts w:ascii="Times New Roman" w:eastAsia="Times New Roman" w:hAnsi="Times New Roman" w:cs="Times New Roman"/>
          <w:sz w:val="24"/>
          <w:szCs w:val="24"/>
        </w:rPr>
        <w:t>,</w:t>
      </w:r>
      <w:r w:rsidR="00CE5219" w:rsidRPr="007A69F5">
        <w:rPr>
          <w:rFonts w:ascii="Times New Roman" w:eastAsia="Times New Roman" w:hAnsi="Times New Roman" w:cs="Times New Roman"/>
          <w:sz w:val="24"/>
          <w:szCs w:val="24"/>
        </w:rPr>
        <w:t>” f</w:t>
      </w:r>
      <w:r w:rsidR="00CE5219">
        <w:rPr>
          <w:rFonts w:ascii="Times New Roman" w:eastAsia="Times New Roman" w:hAnsi="Times New Roman" w:cs="Times New Roman"/>
          <w:sz w:val="24"/>
          <w:szCs w:val="24"/>
        </w:rPr>
        <w:t>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3A6815" w:rsidRPr="003A6815">
        <w:rPr>
          <w:rFonts w:ascii="Times New Roman" w:eastAsia="Times New Roman" w:hAnsi="Times New Roman" w:cs="Times New Roman"/>
          <w:sz w:val="24"/>
          <w:szCs w:val="24"/>
        </w:rPr>
        <w:t>SFOP0006845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551AA8EC"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4204DE">
        <w:rPr>
          <w:rFonts w:ascii="Times New Roman" w:eastAsia="Times New Roman" w:hAnsi="Times New Roman" w:cs="Times New Roman"/>
          <w:color w:val="auto"/>
          <w:sz w:val="24"/>
          <w:szCs w:val="24"/>
        </w:rPr>
        <w:t xml:space="preserve">up to 12 </w:t>
      </w:r>
      <w:r w:rsidRPr="002C5E91">
        <w:rPr>
          <w:rFonts w:ascii="Times New Roman" w:eastAsia="Times New Roman" w:hAnsi="Times New Roman" w:cs="Times New Roman"/>
          <w:color w:val="auto"/>
          <w:sz w:val="24"/>
          <w:szCs w:val="24"/>
        </w:rPr>
        <w:t>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0B672092"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4204DE">
        <w:rPr>
          <w:rFonts w:ascii="Times New Roman" w:eastAsia="Times New Roman" w:hAnsi="Times New Roman" w:cs="Times New Roman"/>
          <w:color w:val="auto"/>
          <w:sz w:val="24"/>
          <w:szCs w:val="24"/>
        </w:rPr>
        <w:t xml:space="preserve">up to 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7A69F5" w:rsidRDefault="00DF4C00" w:rsidP="006448FC">
      <w:pPr>
        <w:pStyle w:val="NoSpacing"/>
        <w:numPr>
          <w:ilvl w:val="0"/>
          <w:numId w:val="17"/>
        </w:numPr>
        <w:rPr>
          <w:rFonts w:ascii="Times New Roman" w:eastAsia="Times New Roman" w:hAnsi="Times New Roman" w:cs="Times New Roman"/>
          <w:color w:val="252525"/>
          <w:sz w:val="24"/>
          <w:szCs w:val="24"/>
        </w:rPr>
      </w:pPr>
      <w:r w:rsidRPr="007A69F5">
        <w:rPr>
          <w:rFonts w:ascii="Times New Roman" w:eastAsia="Times New Roman" w:hAnsi="Times New Roman" w:cs="Times New Roman"/>
          <w:b/>
          <w:sz w:val="24"/>
          <w:szCs w:val="24"/>
        </w:rPr>
        <w:t>Security Plan</w:t>
      </w:r>
      <w:r w:rsidR="00ED47F2" w:rsidRPr="007A69F5">
        <w:rPr>
          <w:rFonts w:ascii="Times New Roman" w:eastAsia="Times New Roman" w:hAnsi="Times New Roman" w:cs="Times New Roman"/>
          <w:b/>
          <w:sz w:val="24"/>
          <w:szCs w:val="24"/>
        </w:rPr>
        <w:t xml:space="preserve"> </w:t>
      </w:r>
      <w:r w:rsidR="006448FC" w:rsidRPr="007A69F5">
        <w:rPr>
          <w:rFonts w:ascii="Times New Roman" w:eastAsia="Times New Roman" w:hAnsi="Times New Roman" w:cs="Times New Roman"/>
          <w:sz w:val="24"/>
          <w:szCs w:val="24"/>
        </w:rPr>
        <w:t xml:space="preserve">addressing any issues involving in-person events and recruitment for said events, </w:t>
      </w:r>
      <w:r w:rsidR="000B5C07" w:rsidRPr="007A69F5">
        <w:rPr>
          <w:rFonts w:ascii="Times New Roman" w:eastAsia="Times New Roman" w:hAnsi="Times New Roman" w:cs="Times New Roman"/>
          <w:sz w:val="24"/>
          <w:szCs w:val="24"/>
        </w:rPr>
        <w:t xml:space="preserve">and </w:t>
      </w:r>
      <w:r w:rsidR="006448FC" w:rsidRPr="007A69F5">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7A69F5">
        <w:rPr>
          <w:rFonts w:ascii="Times New Roman" w:eastAsia="Times New Roman" w:hAnsi="Times New Roman" w:cs="Times New Roman"/>
          <w:color w:val="auto"/>
          <w:sz w:val="24"/>
          <w:szCs w:val="24"/>
        </w:rPr>
        <w:t xml:space="preserve">.  </w:t>
      </w:r>
      <w:r w:rsidR="00C92E25" w:rsidRPr="007A69F5">
        <w:rPr>
          <w:rFonts w:ascii="Times New Roman" w:eastAsia="Times New Roman" w:hAnsi="Times New Roman" w:cs="Times New Roman"/>
          <w:color w:val="auto"/>
          <w:sz w:val="24"/>
          <w:szCs w:val="24"/>
        </w:rPr>
        <w:t>Organization’s</w:t>
      </w:r>
      <w:r w:rsidR="00D47D44" w:rsidRPr="007A69F5">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7A69F5">
        <w:rPr>
          <w:rFonts w:ascii="Times New Roman" w:eastAsia="Times New Roman" w:hAnsi="Times New Roman" w:cs="Times New Roman"/>
          <w:color w:val="auto"/>
          <w:sz w:val="24"/>
          <w:szCs w:val="24"/>
        </w:rPr>
        <w:t xml:space="preserve">.  Costs may also be identified within the budget and budget </w:t>
      </w:r>
      <w:r w:rsidR="00D47D44" w:rsidRPr="007A69F5">
        <w:rPr>
          <w:rFonts w:ascii="Times New Roman" w:eastAsia="Times New Roman" w:hAnsi="Times New Roman" w:cs="Times New Roman"/>
          <w:color w:val="auto"/>
          <w:sz w:val="24"/>
          <w:szCs w:val="24"/>
        </w:rPr>
        <w:t>narrative</w:t>
      </w:r>
      <w:r w:rsidR="00C92E25" w:rsidRPr="007A69F5">
        <w:rPr>
          <w:rFonts w:ascii="Times New Roman" w:eastAsia="Times New Roman" w:hAnsi="Times New Roman" w:cs="Times New Roman"/>
          <w:color w:val="auto"/>
          <w:sz w:val="24"/>
          <w:szCs w:val="24"/>
        </w:rPr>
        <w:t xml:space="preserve">.  </w:t>
      </w:r>
      <w:r w:rsidR="000B5C07" w:rsidRPr="007A69F5">
        <w:rPr>
          <w:rFonts w:ascii="Times New Roman" w:eastAsia="Times New Roman" w:hAnsi="Times New Roman" w:cs="Times New Roman"/>
          <w:sz w:val="24"/>
          <w:szCs w:val="24"/>
        </w:rPr>
        <w:t>Applicants</w:t>
      </w:r>
      <w:r w:rsidR="006448FC" w:rsidRPr="007A69F5">
        <w:rPr>
          <w:rFonts w:ascii="Times New Roman" w:eastAsia="Times New Roman" w:hAnsi="Times New Roman" w:cs="Times New Roman"/>
          <w:sz w:val="24"/>
          <w:szCs w:val="24"/>
        </w:rPr>
        <w:t xml:space="preserve"> are </w:t>
      </w:r>
      <w:r w:rsidR="000B5C07" w:rsidRPr="007A69F5">
        <w:rPr>
          <w:rFonts w:ascii="Times New Roman" w:eastAsia="Times New Roman" w:hAnsi="Times New Roman" w:cs="Times New Roman"/>
          <w:sz w:val="24"/>
          <w:szCs w:val="24"/>
        </w:rPr>
        <w:t xml:space="preserve">also </w:t>
      </w:r>
      <w:r w:rsidR="006448FC" w:rsidRPr="007A69F5">
        <w:rPr>
          <w:rFonts w:ascii="Times New Roman" w:eastAsia="Times New Roman" w:hAnsi="Times New Roman" w:cs="Times New Roman"/>
          <w:sz w:val="24"/>
          <w:szCs w:val="24"/>
        </w:rPr>
        <w:t>encouraged to include contingency plans for in-person or online activities.</w:t>
      </w:r>
    </w:p>
    <w:p w14:paraId="0C9479A0" w14:textId="77777777" w:rsidR="006448FC" w:rsidRPr="007A69F5"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7A69F5"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7A69F5">
        <w:rPr>
          <w:rFonts w:ascii="Times New Roman" w:hAnsi="Times New Roman" w:cs="Times New Roman"/>
          <w:b/>
          <w:sz w:val="24"/>
          <w:szCs w:val="24"/>
        </w:rPr>
        <w:t>Contingency Plan</w:t>
      </w:r>
      <w:r w:rsidRPr="007A69F5">
        <w:rPr>
          <w:rFonts w:ascii="Times New Roman" w:eastAsia="Times New Roman" w:hAnsi="Times New Roman" w:cs="Times New Roman"/>
          <w:sz w:val="24"/>
          <w:szCs w:val="24"/>
        </w:rPr>
        <w:t xml:space="preserve"> </w:t>
      </w:r>
      <w:r w:rsidR="000B5C07" w:rsidRPr="007A69F5">
        <w:rPr>
          <w:rFonts w:ascii="Times New Roman" w:eastAsia="Times New Roman" w:hAnsi="Times New Roman" w:cs="Times New Roman"/>
          <w:sz w:val="24"/>
          <w:szCs w:val="24"/>
        </w:rPr>
        <w:t>f</w:t>
      </w:r>
      <w:r w:rsidRPr="007A69F5">
        <w:rPr>
          <w:rFonts w:ascii="Times New Roman" w:hAnsi="Times New Roman" w:cs="Times New Roman"/>
          <w:sz w:val="24"/>
          <w:szCs w:val="24"/>
        </w:rPr>
        <w:t xml:space="preserve">or proposed activities should the originally planned activities not be able to be implemented. </w:t>
      </w:r>
      <w:r w:rsidR="000B5C07" w:rsidRPr="007A69F5">
        <w:rPr>
          <w:rFonts w:ascii="Times New Roman" w:hAnsi="Times New Roman" w:cs="Times New Roman"/>
          <w:sz w:val="24"/>
          <w:szCs w:val="24"/>
        </w:rPr>
        <w:t xml:space="preserve"> </w:t>
      </w:r>
      <w:r w:rsidR="000B5C07" w:rsidRPr="007A69F5">
        <w:rPr>
          <w:rFonts w:ascii="Times New Roman" w:hAnsi="Times New Roman" w:cs="Times New Roman"/>
          <w:color w:val="auto"/>
          <w:sz w:val="24"/>
          <w:szCs w:val="24"/>
        </w:rPr>
        <w:t xml:space="preserve">The contingency plan should be submitted </w:t>
      </w:r>
      <w:r w:rsidRPr="007A69F5">
        <w:rPr>
          <w:rFonts w:ascii="Times New Roman" w:hAnsi="Times New Roman" w:cs="Times New Roman"/>
          <w:color w:val="auto"/>
          <w:sz w:val="24"/>
          <w:szCs w:val="24"/>
        </w:rPr>
        <w:t>as an additional annex.</w:t>
      </w:r>
      <w:r w:rsidR="004F69EC" w:rsidRPr="007A69F5">
        <w:rPr>
          <w:rFonts w:ascii="Times New Roman" w:hAnsi="Times New Roman" w:cs="Times New Roman"/>
          <w:color w:val="auto"/>
          <w:sz w:val="24"/>
          <w:szCs w:val="24"/>
        </w:rPr>
        <w:t xml:space="preserve"> </w:t>
      </w:r>
      <w:r w:rsidR="003E3968" w:rsidRPr="007A69F5">
        <w:rPr>
          <w:rFonts w:ascii="Times New Roman" w:hAnsi="Times New Roman" w:cs="Times New Roman"/>
          <w:color w:val="auto"/>
          <w:sz w:val="24"/>
          <w:szCs w:val="24"/>
        </w:rPr>
        <w:t xml:space="preserve"> </w:t>
      </w:r>
      <w:r w:rsidR="003E3968" w:rsidRPr="007A69F5">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7A69F5">
        <w:rPr>
          <w:rFonts w:ascii="Times New Roman" w:eastAsia="Times New Roman" w:hAnsi="Times New Roman" w:cs="Times New Roman"/>
          <w:color w:val="auto"/>
          <w:sz w:val="24"/>
          <w:szCs w:val="24"/>
        </w:rPr>
        <w:t>Any proposed “plan” must comply with 2CFR200.433 – Contingency provisions.</w:t>
      </w:r>
      <w:r w:rsidR="00577658" w:rsidRPr="007A69F5">
        <w:rPr>
          <w:rFonts w:ascii="Times New Roman" w:eastAsia="Times New Roman" w:hAnsi="Times New Roman" w:cs="Times New Roman"/>
          <w:color w:val="auto"/>
          <w:sz w:val="24"/>
          <w:szCs w:val="24"/>
        </w:rPr>
        <w:t xml:space="preserve"> </w:t>
      </w:r>
      <w:r w:rsidR="00612DEB" w:rsidRPr="007A69F5">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7A69F5">
        <w:rPr>
          <w:rFonts w:ascii="Times New Roman" w:eastAsia="Times New Roman" w:hAnsi="Times New Roman" w:cs="Times New Roman"/>
          <w:color w:val="auto"/>
          <w:sz w:val="24"/>
          <w:szCs w:val="24"/>
        </w:rPr>
        <w:t>.”</w:t>
      </w:r>
      <w:r w:rsidR="00612DEB" w:rsidRPr="007A69F5">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7A69F5">
        <w:rPr>
          <w:rFonts w:ascii="Times New Roman" w:eastAsia="Times New Roman" w:hAnsi="Times New Roman" w:cs="Times New Roman"/>
          <w:color w:val="auto"/>
          <w:sz w:val="24"/>
          <w:szCs w:val="24"/>
        </w:rPr>
        <w:t>.”</w:t>
      </w:r>
    </w:p>
    <w:p w14:paraId="2D2F6994" w14:textId="77777777" w:rsidR="006448FC" w:rsidRPr="007A69F5"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537A492E" w:rsidR="006448FC" w:rsidRPr="007A69F5"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7A69F5">
        <w:rPr>
          <w:rFonts w:ascii="Times New Roman" w:hAnsi="Times New Roman" w:cs="Times New Roman"/>
          <w:b/>
          <w:sz w:val="24"/>
          <w:szCs w:val="24"/>
        </w:rPr>
        <w:t>Lessons L</w:t>
      </w:r>
      <w:r w:rsidR="006448FC" w:rsidRPr="007A69F5">
        <w:rPr>
          <w:rFonts w:ascii="Times New Roman" w:hAnsi="Times New Roman" w:cs="Times New Roman"/>
          <w:b/>
          <w:sz w:val="24"/>
          <w:szCs w:val="24"/>
        </w:rPr>
        <w:t>earned</w:t>
      </w:r>
      <w:r w:rsidRPr="007A69F5">
        <w:rPr>
          <w:rFonts w:ascii="Times New Roman" w:hAnsi="Times New Roman" w:cs="Times New Roman"/>
          <w:b/>
          <w:sz w:val="24"/>
          <w:szCs w:val="24"/>
        </w:rPr>
        <w:t xml:space="preserve"> </w:t>
      </w:r>
      <w:r w:rsidRPr="007A69F5">
        <w:rPr>
          <w:rFonts w:ascii="Times New Roman" w:eastAsia="Times New Roman" w:hAnsi="Times New Roman" w:cs="Times New Roman"/>
          <w:sz w:val="24"/>
          <w:szCs w:val="24"/>
        </w:rPr>
        <w:t xml:space="preserve">(not to exceed one </w:t>
      </w:r>
      <w:r w:rsidR="00787314" w:rsidRPr="007A69F5">
        <w:rPr>
          <w:rFonts w:ascii="Times New Roman" w:eastAsia="Times New Roman" w:hAnsi="Times New Roman" w:cs="Times New Roman"/>
          <w:sz w:val="24"/>
          <w:szCs w:val="24"/>
        </w:rPr>
        <w:t>(</w:t>
      </w:r>
      <w:r w:rsidRPr="007A69F5">
        <w:rPr>
          <w:rFonts w:ascii="Times New Roman" w:eastAsia="Times New Roman" w:hAnsi="Times New Roman" w:cs="Times New Roman"/>
          <w:sz w:val="24"/>
          <w:szCs w:val="24"/>
        </w:rPr>
        <w:t>1</w:t>
      </w:r>
      <w:r w:rsidR="00787314" w:rsidRPr="007A69F5">
        <w:rPr>
          <w:rFonts w:ascii="Times New Roman" w:eastAsia="Times New Roman" w:hAnsi="Times New Roman" w:cs="Times New Roman"/>
          <w:sz w:val="24"/>
          <w:szCs w:val="24"/>
        </w:rPr>
        <w:t>)</w:t>
      </w:r>
      <w:r w:rsidRPr="007A69F5">
        <w:rPr>
          <w:rFonts w:ascii="Times New Roman" w:eastAsia="Times New Roman" w:hAnsi="Times New Roman" w:cs="Times New Roman"/>
          <w:sz w:val="24"/>
          <w:szCs w:val="24"/>
        </w:rPr>
        <w:t xml:space="preserve"> page, preferably as a Word Document)</w:t>
      </w:r>
      <w:r w:rsidR="006448FC" w:rsidRPr="007A69F5">
        <w:rPr>
          <w:rFonts w:ascii="Times New Roman" w:hAnsi="Times New Roman" w:cs="Times New Roman"/>
          <w:sz w:val="24"/>
          <w:szCs w:val="24"/>
        </w:rPr>
        <w:t xml:space="preserve"> from past programs</w:t>
      </w:r>
      <w:r w:rsidR="000A592E" w:rsidRPr="007A69F5">
        <w:rPr>
          <w:rFonts w:ascii="Times New Roman" w:hAnsi="Times New Roman" w:cs="Times New Roman"/>
          <w:sz w:val="24"/>
          <w:szCs w:val="24"/>
        </w:rPr>
        <w:t xml:space="preserve"> </w:t>
      </w:r>
      <w:r w:rsidR="007A69F5">
        <w:rPr>
          <w:rFonts w:ascii="Times New Roman" w:hAnsi="Times New Roman" w:cs="Times New Roman"/>
          <w:sz w:val="24"/>
          <w:szCs w:val="24"/>
        </w:rPr>
        <w:t>supporting labor rights</w:t>
      </w:r>
      <w:r w:rsidR="006448FC" w:rsidRPr="007A69F5">
        <w:rPr>
          <w:rFonts w:ascii="Times New Roman" w:hAnsi="Times New Roman" w:cs="Times New Roman"/>
          <w:sz w:val="24"/>
          <w:szCs w:val="24"/>
        </w:rPr>
        <w:t xml:space="preserve"> that demonstrate how the implementer has safely operated and responded to</w:t>
      </w:r>
      <w:r w:rsidR="00DB00C4" w:rsidRPr="007A69F5">
        <w:rPr>
          <w:rFonts w:ascii="Times New Roman" w:hAnsi="Times New Roman" w:cs="Times New Roman"/>
          <w:sz w:val="24"/>
          <w:szCs w:val="24"/>
        </w:rPr>
        <w:t xml:space="preserve"> programmatic</w:t>
      </w:r>
      <w:r w:rsidR="006448FC" w:rsidRPr="007A69F5">
        <w:rPr>
          <w:rFonts w:ascii="Times New Roman" w:hAnsi="Times New Roman" w:cs="Times New Roman"/>
          <w:sz w:val="24"/>
          <w:szCs w:val="24"/>
        </w:rPr>
        <w:t xml:space="preserve"> challenges, learning from both successes and failures, in the operating environment.  </w:t>
      </w:r>
      <w:r w:rsidR="006448FC" w:rsidRPr="007A69F5">
        <w:rPr>
          <w:rFonts w:ascii="Times New Roman" w:hAnsi="Times New Roman" w:cs="Times New Roman"/>
          <w:color w:val="auto"/>
          <w:sz w:val="24"/>
          <w:szCs w:val="24"/>
        </w:rPr>
        <w:t xml:space="preserve">To be incorporated into the </w:t>
      </w:r>
      <w:r w:rsidR="000B5C07" w:rsidRPr="007A69F5">
        <w:rPr>
          <w:rFonts w:ascii="Times New Roman" w:hAnsi="Times New Roman" w:cs="Times New Roman"/>
          <w:color w:val="auto"/>
          <w:sz w:val="24"/>
          <w:szCs w:val="24"/>
        </w:rPr>
        <w:t xml:space="preserve">ten </w:t>
      </w:r>
      <w:r w:rsidR="00787314" w:rsidRPr="007A69F5">
        <w:rPr>
          <w:rFonts w:ascii="Times New Roman" w:hAnsi="Times New Roman" w:cs="Times New Roman"/>
          <w:color w:val="auto"/>
          <w:sz w:val="24"/>
          <w:szCs w:val="24"/>
        </w:rPr>
        <w:t>(</w:t>
      </w:r>
      <w:r w:rsidR="006448FC" w:rsidRPr="007A69F5">
        <w:rPr>
          <w:rFonts w:ascii="Times New Roman" w:hAnsi="Times New Roman" w:cs="Times New Roman"/>
          <w:color w:val="auto"/>
          <w:sz w:val="24"/>
          <w:szCs w:val="24"/>
        </w:rPr>
        <w:t>10</w:t>
      </w:r>
      <w:r w:rsidR="00787314" w:rsidRPr="007A69F5">
        <w:rPr>
          <w:rFonts w:ascii="Times New Roman" w:hAnsi="Times New Roman" w:cs="Times New Roman"/>
          <w:color w:val="auto"/>
          <w:sz w:val="24"/>
          <w:szCs w:val="24"/>
        </w:rPr>
        <w:t xml:space="preserve">) </w:t>
      </w:r>
      <w:r w:rsidR="006448FC" w:rsidRPr="007A69F5">
        <w:rPr>
          <w:rFonts w:ascii="Times New Roman" w:hAnsi="Times New Roman" w:cs="Times New Roman"/>
          <w:color w:val="auto"/>
          <w:sz w:val="24"/>
          <w:szCs w:val="24"/>
        </w:rPr>
        <w:t>pages allowed for “Proposal Narrative</w:t>
      </w:r>
      <w:r w:rsidR="000B5C07" w:rsidRPr="007A69F5">
        <w:rPr>
          <w:rFonts w:ascii="Times New Roman" w:hAnsi="Times New Roman" w:cs="Times New Roman"/>
          <w:color w:val="auto"/>
          <w:sz w:val="24"/>
          <w:szCs w:val="24"/>
        </w:rPr>
        <w:t>.”</w:t>
      </w:r>
      <w:r w:rsidR="006448FC" w:rsidRPr="007A69F5">
        <w:rPr>
          <w:rFonts w:ascii="Times New Roman" w:hAnsi="Times New Roman" w:cs="Times New Roman"/>
          <w:color w:val="auto"/>
          <w:sz w:val="24"/>
          <w:szCs w:val="24"/>
        </w:rPr>
        <w:t xml:space="preserve"> </w:t>
      </w:r>
      <w:r w:rsidR="000B5C07" w:rsidRPr="007A69F5">
        <w:rPr>
          <w:rFonts w:ascii="Times New Roman" w:hAnsi="Times New Roman" w:cs="Times New Roman"/>
          <w:color w:val="auto"/>
          <w:sz w:val="24"/>
          <w:szCs w:val="24"/>
        </w:rPr>
        <w:t xml:space="preserve"> </w:t>
      </w:r>
    </w:p>
    <w:p w14:paraId="5CC3FD22" w14:textId="0F5FD8C9" w:rsidR="006448FC" w:rsidRPr="003A3E08" w:rsidRDefault="006448FC" w:rsidP="004204DE">
      <w:pPr>
        <w:pStyle w:val="NoSpacing"/>
        <w:rPr>
          <w:rFonts w:ascii="Times New Roman" w:eastAsia="Times New Roman" w:hAnsi="Times New Roman" w:cs="Times New Roman"/>
          <w:b/>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C4E0C2E"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7A69F5" w:rsidRPr="007A69F5">
        <w:rPr>
          <w:rFonts w:ascii="Times New Roman" w:eastAsia="Times New Roman" w:hAnsi="Times New Roman" w:cs="Times New Roman"/>
          <w:b/>
          <w:sz w:val="24"/>
          <w:szCs w:val="24"/>
        </w:rPr>
        <w:t>Monday</w:t>
      </w:r>
      <w:r w:rsidRPr="007A69F5">
        <w:rPr>
          <w:rFonts w:ascii="Times New Roman" w:eastAsia="Times New Roman" w:hAnsi="Times New Roman" w:cs="Times New Roman"/>
          <w:b/>
          <w:sz w:val="24"/>
          <w:szCs w:val="24"/>
        </w:rPr>
        <w:t xml:space="preserve">, </w:t>
      </w:r>
      <w:r w:rsidR="007A69F5" w:rsidRPr="007A69F5">
        <w:rPr>
          <w:rFonts w:ascii="Times New Roman" w:eastAsia="Times New Roman" w:hAnsi="Times New Roman" w:cs="Times New Roman"/>
          <w:b/>
          <w:sz w:val="24"/>
          <w:szCs w:val="24"/>
        </w:rPr>
        <w:t>June 8</w:t>
      </w:r>
      <w:r w:rsidRPr="007A69F5">
        <w:rPr>
          <w:rFonts w:ascii="Times New Roman" w:eastAsia="Times New Roman" w:hAnsi="Times New Roman" w:cs="Times New Roman"/>
          <w:b/>
          <w:sz w:val="24"/>
          <w:szCs w:val="24"/>
        </w:rPr>
        <w:t xml:space="preserve">, </w:t>
      </w:r>
      <w:r w:rsidR="007A69F5" w:rsidRPr="007A69F5">
        <w:rPr>
          <w:rFonts w:ascii="Times New Roman" w:eastAsia="Times New Roman" w:hAnsi="Times New Roman" w:cs="Times New Roman"/>
          <w:b/>
          <w:sz w:val="24"/>
          <w:szCs w:val="24"/>
        </w:rPr>
        <w:t>2020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7A69F5">
        <w:rPr>
          <w:rFonts w:ascii="Times New Roman" w:eastAsia="Times New Roman" w:hAnsi="Times New Roman" w:cs="Times New Roman"/>
          <w:b/>
          <w:sz w:val="24"/>
          <w:szCs w:val="24"/>
        </w:rPr>
        <w:t>“</w:t>
      </w:r>
      <w:r w:rsidR="007A69F5" w:rsidRPr="007A69F5">
        <w:rPr>
          <w:rFonts w:ascii="Times New Roman" w:eastAsia="Times New Roman" w:hAnsi="Times New Roman" w:cs="Times New Roman"/>
          <w:b/>
          <w:sz w:val="24"/>
          <w:szCs w:val="24"/>
        </w:rPr>
        <w:t>DRL BHR: Mexico United 2026</w:t>
      </w:r>
      <w:r w:rsidR="0004508F" w:rsidRPr="007A69F5">
        <w:rPr>
          <w:rFonts w:ascii="Times New Roman" w:eastAsia="Times New Roman" w:hAnsi="Times New Roman" w:cs="Times New Roman"/>
          <w:b/>
          <w:sz w:val="24"/>
          <w:szCs w:val="24"/>
        </w:rPr>
        <w:t>,”</w:t>
      </w:r>
      <w:r w:rsidR="0004508F" w:rsidRPr="0004508F">
        <w:rPr>
          <w:rFonts w:ascii="Times New Roman" w:eastAsia="Times New Roman" w:hAnsi="Times New Roman" w:cs="Times New Roman"/>
          <w:b/>
          <w:sz w:val="24"/>
          <w:szCs w:val="24"/>
        </w:rPr>
        <w:t xml:space="preserve"> funding opportunity number “</w:t>
      </w:r>
      <w:r w:rsidR="003A6815" w:rsidRPr="003A6815">
        <w:rPr>
          <w:rFonts w:ascii="Times New Roman" w:eastAsia="Times New Roman" w:hAnsi="Times New Roman" w:cs="Times New Roman"/>
          <w:b/>
          <w:sz w:val="24"/>
          <w:szCs w:val="24"/>
        </w:rPr>
        <w:t>SFOP0006845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424CC30E"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A4D5395"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4204DE" w:rsidRPr="004204DE">
          <w:rPr>
            <w:rStyle w:val="Hyperlink"/>
            <w:rFonts w:ascii="Times New Roman" w:eastAsia="Times New Roman" w:hAnsi="Times New Roman" w:cs="Times New Roman"/>
            <w:sz w:val="24"/>
            <w:szCs w:val="24"/>
          </w:rPr>
          <w:t>DRLLaborGrants@</w:t>
        </w:r>
        <w:r w:rsidR="004204DE" w:rsidRPr="008B4512">
          <w:rPr>
            <w:rStyle w:val="Hyperlink"/>
            <w:rFonts w:ascii="Times New Roman" w:eastAsia="Times New Roman" w:hAnsi="Times New Roman" w:cs="Times New Roman"/>
            <w:sz w:val="24"/>
            <w:szCs w:val="24"/>
          </w:rPr>
          <w:t>state.gov</w:t>
        </w:r>
      </w:hyperlink>
      <w:r w:rsidR="004204DE">
        <w:rPr>
          <w:rFonts w:ascii="Times New Roman" w:eastAsia="Times New Roman" w:hAnsi="Times New Roman" w:cs="Times New Roman"/>
          <w:sz w:val="24"/>
          <w:szCs w:val="24"/>
        </w:rPr>
        <w:t xml:space="preserve">. </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7C25F9"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82B34" w:rsidRDefault="00A82B34">
      <w:pPr>
        <w:spacing w:after="0" w:line="240" w:lineRule="auto"/>
      </w:pPr>
      <w:r>
        <w:separator/>
      </w:r>
    </w:p>
  </w:endnote>
  <w:endnote w:type="continuationSeparator" w:id="0">
    <w:p w14:paraId="5FE206B2" w14:textId="77777777" w:rsidR="00A82B34" w:rsidRDefault="00A8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A82B34" w:rsidRDefault="00A82B34">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A82B34" w:rsidRPr="005A2652" w:rsidRDefault="00A82B34"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A82B34" w:rsidRPr="005A2652" w:rsidRDefault="00A82B34"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A82B34" w:rsidRDefault="00A82B34">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A82B34" w:rsidRPr="005A2652" w:rsidRDefault="00A82B34"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A82B34" w:rsidRPr="005A2652" w:rsidRDefault="00A82B34"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82B34" w:rsidRDefault="00A82B34">
      <w:pPr>
        <w:spacing w:after="0" w:line="240" w:lineRule="auto"/>
      </w:pPr>
      <w:r>
        <w:separator/>
      </w:r>
    </w:p>
  </w:footnote>
  <w:footnote w:type="continuationSeparator" w:id="0">
    <w:p w14:paraId="416338DE" w14:textId="77777777" w:rsidR="00A82B34" w:rsidRDefault="00A82B34">
      <w:pPr>
        <w:spacing w:after="0" w:line="240" w:lineRule="auto"/>
      </w:pPr>
      <w:r>
        <w:continuationSeparator/>
      </w:r>
    </w:p>
  </w:footnote>
  <w:footnote w:id="1">
    <w:p w14:paraId="1766B274" w14:textId="77777777" w:rsidR="004204DE" w:rsidRDefault="004204DE" w:rsidP="004204DE">
      <w:pPr>
        <w:pStyle w:val="FootnoteText"/>
      </w:pPr>
      <w:r>
        <w:rPr>
          <w:rStyle w:val="FootnoteReference"/>
        </w:rPr>
        <w:footnoteRef/>
      </w:r>
      <w:r>
        <w:t xml:space="preserve"> United 2026. (March 2018). </w:t>
      </w:r>
      <w:r>
        <w:rPr>
          <w:i/>
          <w:iCs/>
        </w:rPr>
        <w:t>Proposal for a United Human Rights Strategy</w:t>
      </w:r>
      <w:r>
        <w:t xml:space="preserve"> [PDF file]. Retrieved from: </w:t>
      </w:r>
      <w:hyperlink r:id="rId1" w:history="1">
        <w:r>
          <w:rPr>
            <w:rStyle w:val="Hyperlink"/>
          </w:rPr>
          <w:t>https://www.sporthumanrights.org/en/resources/united-2026-human-rights-strategy</w:t>
        </w:r>
      </w:hyperlink>
      <w:r>
        <w:t xml:space="preserve"> (Accessed: 05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1F00D937" w:rsidR="00A82B34" w:rsidRPr="00863457" w:rsidRDefault="00A82B34"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7C25F9">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231C"/>
    <w:rsid w:val="000C5C9F"/>
    <w:rsid w:val="000C6A96"/>
    <w:rsid w:val="000D26B1"/>
    <w:rsid w:val="000D4C68"/>
    <w:rsid w:val="000E0224"/>
    <w:rsid w:val="000E171B"/>
    <w:rsid w:val="000E5218"/>
    <w:rsid w:val="000F2A55"/>
    <w:rsid w:val="000F414C"/>
    <w:rsid w:val="001002FC"/>
    <w:rsid w:val="00102A2C"/>
    <w:rsid w:val="00112414"/>
    <w:rsid w:val="001125BF"/>
    <w:rsid w:val="001137DB"/>
    <w:rsid w:val="00115681"/>
    <w:rsid w:val="00121037"/>
    <w:rsid w:val="001210B9"/>
    <w:rsid w:val="00122A1E"/>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65E"/>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470F3"/>
    <w:rsid w:val="00352492"/>
    <w:rsid w:val="0035360E"/>
    <w:rsid w:val="0035592D"/>
    <w:rsid w:val="003779CC"/>
    <w:rsid w:val="00386360"/>
    <w:rsid w:val="00390FAF"/>
    <w:rsid w:val="00394A4C"/>
    <w:rsid w:val="00394EED"/>
    <w:rsid w:val="00397E5E"/>
    <w:rsid w:val="003A02AF"/>
    <w:rsid w:val="003A3E08"/>
    <w:rsid w:val="003A6815"/>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204DE"/>
    <w:rsid w:val="00437570"/>
    <w:rsid w:val="00443D30"/>
    <w:rsid w:val="0045100E"/>
    <w:rsid w:val="00451C84"/>
    <w:rsid w:val="0045783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04FA"/>
    <w:rsid w:val="005B1B41"/>
    <w:rsid w:val="005B25A6"/>
    <w:rsid w:val="005C2EFC"/>
    <w:rsid w:val="005C6B3B"/>
    <w:rsid w:val="005C785C"/>
    <w:rsid w:val="005D065D"/>
    <w:rsid w:val="005D0A7F"/>
    <w:rsid w:val="005D206C"/>
    <w:rsid w:val="005E071E"/>
    <w:rsid w:val="005E2A6F"/>
    <w:rsid w:val="005E4AB4"/>
    <w:rsid w:val="005E5104"/>
    <w:rsid w:val="005E5C5D"/>
    <w:rsid w:val="005F447C"/>
    <w:rsid w:val="005F73C1"/>
    <w:rsid w:val="00612DEB"/>
    <w:rsid w:val="00624215"/>
    <w:rsid w:val="0062465D"/>
    <w:rsid w:val="00627FD1"/>
    <w:rsid w:val="0063401D"/>
    <w:rsid w:val="006361DF"/>
    <w:rsid w:val="00636EDB"/>
    <w:rsid w:val="006448FC"/>
    <w:rsid w:val="006607EC"/>
    <w:rsid w:val="00661BA3"/>
    <w:rsid w:val="006632F3"/>
    <w:rsid w:val="006637FF"/>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A69F5"/>
    <w:rsid w:val="007B2C89"/>
    <w:rsid w:val="007B3A35"/>
    <w:rsid w:val="007C25F9"/>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86C85"/>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2B34"/>
    <w:rsid w:val="00A83970"/>
    <w:rsid w:val="00A860F4"/>
    <w:rsid w:val="00A87EF2"/>
    <w:rsid w:val="00A91B48"/>
    <w:rsid w:val="00A926CD"/>
    <w:rsid w:val="00A935C5"/>
    <w:rsid w:val="00AA3639"/>
    <w:rsid w:val="00AA446A"/>
    <w:rsid w:val="00AA5036"/>
    <w:rsid w:val="00AA5FDE"/>
    <w:rsid w:val="00AA661A"/>
    <w:rsid w:val="00AB2A7F"/>
    <w:rsid w:val="00AC4A76"/>
    <w:rsid w:val="00AC6657"/>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1CC"/>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0C00"/>
    <w:rsid w:val="00BD4D16"/>
    <w:rsid w:val="00BD5CBF"/>
    <w:rsid w:val="00BD64BA"/>
    <w:rsid w:val="00BD68BA"/>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3641"/>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5565"/>
    <w:rsid w:val="00FC61B7"/>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LaborGrants@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porthumanrights.org/en/resources/united-2026-human-rights-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295A7-3CE5-4C36-A196-E955D7C51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9965</Words>
  <Characters>56805</Characters>
  <Application>Microsoft Office Word</Application>
  <DocSecurity>4</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Selina Holt</cp:lastModifiedBy>
  <cp:revision>2</cp:revision>
  <cp:lastPrinted>2018-11-19T16:01:00Z</cp:lastPrinted>
  <dcterms:created xsi:type="dcterms:W3CDTF">2020-04-22T20:25:00Z</dcterms:created>
  <dcterms:modified xsi:type="dcterms:W3CDTF">2020-04-22T20:25:00Z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