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BD87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50093AB6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5DE1CDF9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4C3ECBA2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2B285D1A" w14:textId="77777777" w:rsidR="002A5057" w:rsidRDefault="002A5057" w:rsidP="00C963F7">
      <w:pPr>
        <w:rPr>
          <w:rFonts w:ascii="Times New Roman" w:hAnsi="Times New Roman" w:cs="Times New Roman"/>
          <w:sz w:val="24"/>
          <w:szCs w:val="24"/>
        </w:rPr>
      </w:pPr>
    </w:p>
    <w:p w14:paraId="3375F3EF" w14:textId="2016F100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received the following question:</w:t>
      </w:r>
    </w:p>
    <w:p w14:paraId="7CE50601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</w:p>
    <w:p w14:paraId="7B3C21BD" w14:textId="2AE37CA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  Whether a corporation</w:t>
      </w:r>
      <w:r w:rsidR="00A111B0">
        <w:rPr>
          <w:rFonts w:ascii="Times New Roman" w:hAnsi="Times New Roman" w:cs="Times New Roman"/>
          <w:sz w:val="24"/>
          <w:szCs w:val="24"/>
        </w:rPr>
        <w:t xml:space="preserve"> or LLC</w:t>
      </w:r>
      <w:r>
        <w:rPr>
          <w:rFonts w:ascii="Times New Roman" w:hAnsi="Times New Roman" w:cs="Times New Roman"/>
          <w:sz w:val="24"/>
          <w:szCs w:val="24"/>
        </w:rPr>
        <w:t xml:space="preserve"> may apply for a Brookwood-Sago Mine Safety grant?</w:t>
      </w:r>
    </w:p>
    <w:p w14:paraId="4CE75329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</w:p>
    <w:p w14:paraId="616E1D57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  A nonprofit corporation may apply, except a nonprofit entity as described in 26 U.S.C. § 501(c)(4).  As provided in the Funding Opportunity Announcement, eligible applicants are the following organizations:</w:t>
      </w:r>
    </w:p>
    <w:p w14:paraId="58687D74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</w:p>
    <w:p w14:paraId="3BA1A5BB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State governments </w:t>
      </w:r>
    </w:p>
    <w:p w14:paraId="435FC190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County governments </w:t>
      </w:r>
    </w:p>
    <w:p w14:paraId="4B9187DB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City or township governments </w:t>
      </w:r>
    </w:p>
    <w:p w14:paraId="2915AE88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Special district governments </w:t>
      </w:r>
    </w:p>
    <w:p w14:paraId="3FD5664E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Public and State controlled institutions of higher education </w:t>
      </w:r>
    </w:p>
    <w:p w14:paraId="78C2A270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Native American tribal governments (Federally recognized)) </w:t>
      </w:r>
    </w:p>
    <w:p w14:paraId="5DDE964D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Native American tribal organizations (other than </w:t>
      </w:r>
      <w:proofErr w:type="gramStart"/>
      <w:r>
        <w:rPr>
          <w:rFonts w:ascii="Times New Roman" w:hAnsi="Times New Roman" w:cs="Times New Roman"/>
          <w:sz w:val="24"/>
          <w:szCs w:val="24"/>
        </w:rPr>
        <w:t>Federally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recognized tribal governments) </w:t>
      </w:r>
    </w:p>
    <w:p w14:paraId="3F38EC4D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Nonprofits having a 501(c)(3) status with the IRS, other than institutions of higher </w:t>
      </w:r>
    </w:p>
    <w:p w14:paraId="05CE2822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education) </w:t>
      </w:r>
    </w:p>
    <w:p w14:paraId="50E651E1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Nonprofits without 501(c)(3) status with the IRS, other than institutions of higher </w:t>
      </w:r>
    </w:p>
    <w:p w14:paraId="2EE0010D" w14:textId="77777777" w:rsidR="00C963F7" w:rsidRDefault="00C963F7" w:rsidP="00C96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education, including labor organizations and unions.</w:t>
      </w:r>
    </w:p>
    <w:p w14:paraId="6295212B" w14:textId="77777777" w:rsidR="00C963F7" w:rsidRDefault="00C963F7" w:rsidP="00C963F7"/>
    <w:p w14:paraId="0DED3E03" w14:textId="483E51BC" w:rsidR="00436577" w:rsidRDefault="00882FAA">
      <w:r>
        <w:rPr>
          <w:noProof/>
          <w:sz w:val="24"/>
          <w:szCs w:val="24"/>
        </w:rPr>
        <w:drawing>
          <wp:inline distT="0" distB="0" distL="0" distR="0" wp14:anchorId="19D26C9F" wp14:editId="389DC2A4">
            <wp:extent cx="1579245" cy="676910"/>
            <wp:effectExtent l="0" t="0" r="1905" b="8890"/>
            <wp:docPr id="5" name="Picture 5" descr="A signature on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ignature on a white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C6F768" w14:textId="0E0E114C" w:rsidR="00C963F7" w:rsidRDefault="00C963F7"/>
    <w:p w14:paraId="4CBA5325" w14:textId="6F187E74" w:rsidR="00C963F7" w:rsidRPr="00A111B0" w:rsidRDefault="00C963F7">
      <w:pPr>
        <w:rPr>
          <w:rFonts w:ascii="Times New Roman" w:hAnsi="Times New Roman" w:cs="Times New Roman"/>
          <w:sz w:val="24"/>
          <w:szCs w:val="24"/>
        </w:rPr>
      </w:pPr>
      <w:r w:rsidRPr="00A111B0">
        <w:rPr>
          <w:rFonts w:ascii="Times New Roman" w:hAnsi="Times New Roman" w:cs="Times New Roman"/>
          <w:sz w:val="24"/>
          <w:szCs w:val="24"/>
        </w:rPr>
        <w:t xml:space="preserve">Nancy </w:t>
      </w:r>
      <w:r w:rsidR="00882FAA">
        <w:rPr>
          <w:rFonts w:ascii="Times New Roman" w:hAnsi="Times New Roman" w:cs="Times New Roman"/>
          <w:sz w:val="24"/>
          <w:szCs w:val="24"/>
        </w:rPr>
        <w:t xml:space="preserve">E. </w:t>
      </w:r>
      <w:r w:rsidRPr="00A111B0">
        <w:rPr>
          <w:rFonts w:ascii="Times New Roman" w:hAnsi="Times New Roman" w:cs="Times New Roman"/>
          <w:sz w:val="24"/>
          <w:szCs w:val="24"/>
        </w:rPr>
        <w:t>Sloanhoffer</w:t>
      </w:r>
    </w:p>
    <w:p w14:paraId="32684E2A" w14:textId="0AE37E12" w:rsidR="00C963F7" w:rsidRPr="00A111B0" w:rsidRDefault="00C963F7">
      <w:pPr>
        <w:rPr>
          <w:rFonts w:ascii="Times New Roman" w:hAnsi="Times New Roman" w:cs="Times New Roman"/>
          <w:sz w:val="24"/>
          <w:szCs w:val="24"/>
        </w:rPr>
      </w:pPr>
      <w:r w:rsidRPr="00A111B0">
        <w:rPr>
          <w:rFonts w:ascii="Times New Roman" w:hAnsi="Times New Roman" w:cs="Times New Roman"/>
          <w:sz w:val="24"/>
          <w:szCs w:val="24"/>
        </w:rPr>
        <w:t>Grant Officer</w:t>
      </w:r>
    </w:p>
    <w:p w14:paraId="5468365B" w14:textId="3CFA1547" w:rsidR="00C963F7" w:rsidRDefault="00C963F7"/>
    <w:p w14:paraId="610F24ED" w14:textId="1D0873AA" w:rsidR="00C963F7" w:rsidRDefault="00C963F7"/>
    <w:p w14:paraId="6849F2E2" w14:textId="77F7B5CB" w:rsidR="00C963F7" w:rsidRDefault="00C963F7"/>
    <w:p w14:paraId="750629F3" w14:textId="19B823B3" w:rsidR="00C963F7" w:rsidRDefault="00C963F7"/>
    <w:sectPr w:rsidR="00C963F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92756" w14:textId="77777777" w:rsidR="006073A8" w:rsidRDefault="006073A8" w:rsidP="002A5057">
      <w:r>
        <w:separator/>
      </w:r>
    </w:p>
  </w:endnote>
  <w:endnote w:type="continuationSeparator" w:id="0">
    <w:p w14:paraId="03DDEE8D" w14:textId="77777777" w:rsidR="006073A8" w:rsidRDefault="006073A8" w:rsidP="002A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08D6F" w14:textId="77777777" w:rsidR="006073A8" w:rsidRDefault="006073A8" w:rsidP="002A5057">
      <w:r>
        <w:separator/>
      </w:r>
    </w:p>
  </w:footnote>
  <w:footnote w:type="continuationSeparator" w:id="0">
    <w:p w14:paraId="7825D28C" w14:textId="77777777" w:rsidR="006073A8" w:rsidRDefault="006073A8" w:rsidP="002A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0372" w14:textId="314B367B" w:rsidR="002A5057" w:rsidRDefault="002A5057">
    <w:pPr>
      <w:pStyle w:val="Header"/>
    </w:pPr>
    <w:r w:rsidRPr="004028FD">
      <w:rPr>
        <w:noProof/>
      </w:rPr>
      <w:drawing>
        <wp:inline distT="0" distB="0" distL="0" distR="0" wp14:anchorId="2D75E33A" wp14:editId="4BB06489">
          <wp:extent cx="5943600" cy="55764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57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F7"/>
    <w:rsid w:val="002A5057"/>
    <w:rsid w:val="0039684D"/>
    <w:rsid w:val="0043512A"/>
    <w:rsid w:val="006073A8"/>
    <w:rsid w:val="00825409"/>
    <w:rsid w:val="00882FAA"/>
    <w:rsid w:val="00A11013"/>
    <w:rsid w:val="00A111B0"/>
    <w:rsid w:val="00C9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83F5A"/>
  <w15:chartTrackingRefBased/>
  <w15:docId w15:val="{C7F59A29-68A3-4AFE-BB7F-996BE1CB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3F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05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A50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05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Polat, Elif E - MSHA</dc:creator>
  <cp:keywords/>
  <dc:description/>
  <cp:lastModifiedBy>Sloanhoffer, Nancy E - MSHA</cp:lastModifiedBy>
  <cp:revision>2</cp:revision>
  <dcterms:created xsi:type="dcterms:W3CDTF">2023-06-22T18:33:00Z</dcterms:created>
  <dcterms:modified xsi:type="dcterms:W3CDTF">2023-06-22T18:33:00Z</dcterms:modified>
</cp:coreProperties>
</file>