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1B8" w:rsidRPr="00D40E36" w:rsidRDefault="00EC21B8"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bookmarkStart w:id="0" w:name="_GoBack"/>
      <w:bookmarkEnd w:id="0"/>
      <w:r w:rsidRPr="00D40E36">
        <w:rPr>
          <w:rFonts w:ascii="Times New Roman" w:hAnsi="Times New Roman"/>
          <w:noProof/>
          <w:color w:val="000000"/>
          <w:sz w:val="24"/>
        </w:rPr>
        <w:t>Centers for Disease Control and Prevention (CDC)</w:t>
      </w:r>
    </w:p>
    <w:p w:rsidR="00EC21B8" w:rsidRPr="00D40E36" w:rsidRDefault="00AA6B12"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Pr>
          <w:rFonts w:ascii="Times New Roman" w:hAnsi="Times New Roman"/>
          <w:noProof/>
          <w:color w:val="000000"/>
          <w:sz w:val="24"/>
        </w:rPr>
        <w:t>Office of Financial Resources</w:t>
      </w:r>
    </w:p>
    <w:p w:rsidR="001F30EF" w:rsidRDefault="00EC21B8"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sidRPr="00D40E36">
        <w:rPr>
          <w:rFonts w:ascii="Times New Roman" w:hAnsi="Times New Roman"/>
          <w:noProof/>
          <w:color w:val="000000"/>
          <w:sz w:val="24"/>
        </w:rPr>
        <w:t>Catalog of Federal Domestic Assistance (CFDA) Number:</w:t>
      </w:r>
      <w:r w:rsidR="00F240A9">
        <w:rPr>
          <w:rFonts w:ascii="Times New Roman" w:hAnsi="Times New Roman"/>
          <w:noProof/>
          <w:color w:val="000000"/>
          <w:sz w:val="24"/>
        </w:rPr>
        <w:t xml:space="preserve"> 93.758</w:t>
      </w:r>
    </w:p>
    <w:p w:rsidR="00EC21B8" w:rsidRDefault="00EC21B8"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p>
    <w:p w:rsidR="00F240A9" w:rsidRPr="00F240A9" w:rsidRDefault="00A0608A"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b/>
          <w:noProof/>
          <w:color w:val="000000"/>
          <w:sz w:val="24"/>
        </w:rPr>
      </w:pPr>
      <w:r>
        <w:rPr>
          <w:rFonts w:ascii="Times New Roman" w:hAnsi="Times New Roman"/>
          <w:b/>
          <w:noProof/>
          <w:color w:val="000000"/>
          <w:sz w:val="24"/>
        </w:rPr>
        <w:t>PPHF 2017</w:t>
      </w:r>
      <w:r w:rsidR="00F240A9" w:rsidRPr="00F240A9">
        <w:rPr>
          <w:rFonts w:ascii="Times New Roman" w:hAnsi="Times New Roman"/>
          <w:b/>
          <w:noProof/>
          <w:color w:val="000000"/>
          <w:sz w:val="24"/>
        </w:rPr>
        <w:t>:  Preventive Health and Health Services Block Grant –</w:t>
      </w:r>
      <w:r>
        <w:rPr>
          <w:rFonts w:ascii="Times New Roman" w:hAnsi="Times New Roman"/>
          <w:b/>
          <w:noProof/>
          <w:color w:val="000000"/>
          <w:sz w:val="24"/>
        </w:rPr>
        <w:t xml:space="preserve"> financed solely by 2017</w:t>
      </w:r>
      <w:r w:rsidR="00F240A9" w:rsidRPr="00F240A9">
        <w:rPr>
          <w:rFonts w:ascii="Times New Roman" w:hAnsi="Times New Roman"/>
          <w:b/>
          <w:noProof/>
          <w:color w:val="000000"/>
          <w:sz w:val="24"/>
        </w:rPr>
        <w:t xml:space="preserve"> Prevention and Public Health Funds</w:t>
      </w:r>
      <w:r w:rsidR="000C6B6B">
        <w:rPr>
          <w:rFonts w:ascii="Times New Roman" w:hAnsi="Times New Roman"/>
          <w:b/>
          <w:noProof/>
          <w:color w:val="000000"/>
          <w:sz w:val="24"/>
        </w:rPr>
        <w:t xml:space="preserve">  CDC-RFA-OT17-17</w:t>
      </w:r>
      <w:r w:rsidR="00303741">
        <w:rPr>
          <w:rFonts w:ascii="Times New Roman" w:hAnsi="Times New Roman"/>
          <w:b/>
          <w:noProof/>
          <w:color w:val="000000"/>
          <w:sz w:val="24"/>
        </w:rPr>
        <w:t>00</w:t>
      </w:r>
      <w:r w:rsidR="00C4606F">
        <w:rPr>
          <w:rFonts w:ascii="Times New Roman" w:hAnsi="Times New Roman"/>
          <w:b/>
          <w:noProof/>
          <w:color w:val="000000"/>
          <w:sz w:val="24"/>
        </w:rPr>
        <w:t>CONT01</w:t>
      </w:r>
      <w:r w:rsidR="00303741">
        <w:rPr>
          <w:rFonts w:ascii="Times New Roman" w:hAnsi="Times New Roman"/>
          <w:b/>
          <w:noProof/>
          <w:color w:val="000000"/>
          <w:sz w:val="24"/>
        </w:rPr>
        <w:t>PPHF17</w:t>
      </w:r>
    </w:p>
    <w:p w:rsidR="00EC21B8" w:rsidRDefault="00EC21B8"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p>
    <w:p w:rsidR="00AB13CD" w:rsidRPr="00D40E3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Overview</w:t>
      </w:r>
      <w:r w:rsidR="00AB13CD" w:rsidRPr="00D40E36">
        <w:rPr>
          <w:rFonts w:ascii="Times New Roman" w:hAnsi="Times New Roman"/>
          <w:b/>
          <w:noProof/>
          <w:color w:val="000000"/>
          <w:sz w:val="24"/>
        </w:rPr>
        <w:t>:</w:t>
      </w:r>
    </w:p>
    <w:p w:rsidR="00AB13CD" w:rsidRPr="00D40E36" w:rsidRDefault="00AB13CD"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F240A9"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This notice announces the Centers for Disease Control and Prevention’s (CDC) </w:t>
      </w:r>
      <w:r w:rsidR="004B4A0F">
        <w:rPr>
          <w:rFonts w:ascii="Times New Roman" w:hAnsi="Times New Roman"/>
          <w:noProof/>
          <w:color w:val="000000"/>
          <w:sz w:val="24"/>
        </w:rPr>
        <w:t xml:space="preserve">intent to fund the </w:t>
      </w:r>
      <w:r>
        <w:rPr>
          <w:rFonts w:ascii="Times New Roman" w:hAnsi="Times New Roman"/>
          <w:noProof/>
          <w:color w:val="000000"/>
          <w:sz w:val="24"/>
        </w:rPr>
        <w:t xml:space="preserve">Preventive Health and Health Services </w:t>
      </w:r>
      <w:r w:rsidR="004B4A0F">
        <w:rPr>
          <w:rFonts w:ascii="Times New Roman" w:hAnsi="Times New Roman"/>
          <w:noProof/>
          <w:color w:val="000000"/>
          <w:sz w:val="24"/>
        </w:rPr>
        <w:t xml:space="preserve">Block Grant </w:t>
      </w:r>
      <w:r>
        <w:rPr>
          <w:rFonts w:ascii="Times New Roman" w:hAnsi="Times New Roman"/>
          <w:noProof/>
          <w:color w:val="000000"/>
          <w:sz w:val="24"/>
        </w:rPr>
        <w:t xml:space="preserve">applications with Prevention and Public Health Funds (PPHF) in </w:t>
      </w:r>
      <w:r w:rsidR="00303741">
        <w:rPr>
          <w:rFonts w:ascii="Times New Roman" w:hAnsi="Times New Roman"/>
          <w:noProof/>
          <w:color w:val="000000"/>
          <w:sz w:val="24"/>
        </w:rPr>
        <w:t>Federal Fiscal Year 2017</w:t>
      </w:r>
      <w:r w:rsidR="004B4A0F">
        <w:rPr>
          <w:rFonts w:ascii="Times New Roman" w:hAnsi="Times New Roman"/>
          <w:noProof/>
          <w:color w:val="000000"/>
          <w:sz w:val="24"/>
        </w:rPr>
        <w:t>,</w:t>
      </w:r>
      <w:r>
        <w:rPr>
          <w:rFonts w:ascii="Times New Roman" w:hAnsi="Times New Roman"/>
          <w:noProof/>
          <w:color w:val="000000"/>
          <w:sz w:val="24"/>
        </w:rPr>
        <w:t xml:space="preserve"> as directed by the </w:t>
      </w:r>
      <w:r w:rsidR="00470467">
        <w:rPr>
          <w:rFonts w:ascii="Times New Roman" w:hAnsi="Times New Roman"/>
          <w:noProof/>
          <w:color w:val="000000"/>
          <w:sz w:val="24"/>
        </w:rPr>
        <w:t>Further Continuing and Security Assistance Appropriations Act, 2017.</w:t>
      </w:r>
    </w:p>
    <w:p w:rsidR="00F240A9"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The total approximate funding will be </w:t>
      </w:r>
      <w:r w:rsidR="00B15707">
        <w:rPr>
          <w:rFonts w:ascii="Times New Roman" w:hAnsi="Times New Roman"/>
          <w:noProof/>
          <w:color w:val="000000"/>
          <w:sz w:val="24"/>
        </w:rPr>
        <w:t>$</w:t>
      </w:r>
      <w:r w:rsidR="007D3158" w:rsidRPr="00AC3826">
        <w:rPr>
          <w:rFonts w:ascii="Times New Roman" w:hAnsi="Times New Roman"/>
          <w:noProof/>
          <w:color w:val="000000"/>
          <w:sz w:val="24"/>
        </w:rPr>
        <w:t>147,109,167</w:t>
      </w:r>
      <w:r w:rsidR="00B15707" w:rsidRPr="00AC3826">
        <w:rPr>
          <w:rFonts w:ascii="Times New Roman" w:hAnsi="Times New Roman"/>
          <w:noProof/>
          <w:color w:val="000000"/>
          <w:sz w:val="24"/>
        </w:rPr>
        <w:t xml:space="preserve">.00 </w:t>
      </w:r>
      <w:r w:rsidR="00303741" w:rsidRPr="00AC3826">
        <w:rPr>
          <w:rFonts w:ascii="Times New Roman" w:hAnsi="Times New Roman"/>
          <w:noProof/>
          <w:color w:val="000000"/>
          <w:sz w:val="24"/>
        </w:rPr>
        <w:t>financed solely by 2017</w:t>
      </w:r>
      <w:r w:rsidRPr="00AC3826">
        <w:rPr>
          <w:rFonts w:ascii="Times New Roman" w:hAnsi="Times New Roman"/>
          <w:noProof/>
          <w:color w:val="000000"/>
          <w:sz w:val="24"/>
        </w:rPr>
        <w:t xml:space="preserve"> P</w:t>
      </w:r>
      <w:r w:rsidR="000C6B6B" w:rsidRPr="00AC3826">
        <w:rPr>
          <w:rFonts w:ascii="Times New Roman" w:hAnsi="Times New Roman"/>
          <w:noProof/>
          <w:color w:val="000000"/>
          <w:sz w:val="24"/>
        </w:rPr>
        <w:t>PHF.  The Prevention and Public</w:t>
      </w:r>
      <w:r w:rsidRPr="00AC3826">
        <w:rPr>
          <w:rFonts w:ascii="Times New Roman" w:hAnsi="Times New Roman"/>
          <w:noProof/>
          <w:color w:val="000000"/>
          <w:sz w:val="24"/>
        </w:rPr>
        <w:t xml:space="preserve"> Health Fund was established by Section 4002 in the Affordable Care Act (ACA) to support investments in prevention, wellness, and public health services.  PPHF is administered through the U.S. Department of Health and Human Services (DHHS), Office of the Secretary, who transfers amounts in the fund to accounts within The Department of Health and Human Services.</w:t>
      </w: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All previsions and requirements of Preventive Health Services Block Legislation, Public Law 97-35, 42 United States Code, Sec 300w-320w-10), 45 Code of Federal Regulations (CFR) Part 75 and Part 96 remains in effect.</w:t>
      </w: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Applications received through the Block Grant Management Information System (BGMIS) will be used as the basis for the award.</w:t>
      </w: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Key Goals:</w:t>
      </w: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F240A9" w:rsidRPr="00AC3826" w:rsidRDefault="00F240A9" w:rsidP="00B15707">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Address emerging health issues and gaps</w:t>
      </w:r>
    </w:p>
    <w:p w:rsidR="00F240A9" w:rsidRPr="00AC3826" w:rsidRDefault="00F240A9" w:rsidP="00B15707">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Decrease premature death and disabilities by focusing on the leading preventable risk factors</w:t>
      </w:r>
    </w:p>
    <w:p w:rsidR="00F240A9" w:rsidRPr="00AC3826" w:rsidRDefault="00F240A9" w:rsidP="00B15707">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Work to achieve health equity and eliminate health disparities by addressing the social determinants of health</w:t>
      </w:r>
    </w:p>
    <w:p w:rsidR="00F240A9" w:rsidRPr="00AC3826" w:rsidRDefault="00F240A9" w:rsidP="00B15707">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Support local programs to achieve healthy communties</w:t>
      </w:r>
    </w:p>
    <w:p w:rsidR="00F240A9" w:rsidRPr="00AC3826" w:rsidRDefault="00F240A9" w:rsidP="00B15707">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rsidR="00F240A9" w:rsidRPr="00AC3826" w:rsidRDefault="00F240A9"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0C6B6B" w:rsidRPr="00AC3826" w:rsidRDefault="000C6B6B"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0C6B6B" w:rsidRPr="00AC3826" w:rsidRDefault="000C6B6B"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0C6B6B" w:rsidRPr="00AC3826" w:rsidRDefault="000C6B6B"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F240A9"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Description:</w:t>
      </w:r>
    </w:p>
    <w:p w:rsidR="000C6B6B" w:rsidRPr="00AC3826" w:rsidRDefault="000C6B6B" w:rsidP="000C6B6B">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p>
    <w:p w:rsidR="004B4A0F" w:rsidRPr="00AC3826" w:rsidRDefault="000C6B6B" w:rsidP="000C6B6B">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Provide for expanded and sustained national investment in prevention and public health programs.</w:t>
      </w:r>
    </w:p>
    <w:p w:rsidR="000C6B6B" w:rsidRPr="00AC3826" w:rsidRDefault="000C6B6B" w:rsidP="000C6B6B">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rsidR="009234C4" w:rsidRPr="00AC3826" w:rsidRDefault="009234C4" w:rsidP="000C6B6B">
      <w:pPr>
        <w:pStyle w:val="ListParagraph"/>
        <w:numPr>
          <w:ilvl w:val="0"/>
          <w:numId w:val="2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lastRenderedPageBreak/>
        <w:t>Improve health and help restrain the rate of growth in private and public sector health costs.</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Purposes:</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 xml:space="preserve">As part of the overall effort to reduce the burden of chronic disease and </w:t>
      </w:r>
      <w:r w:rsidR="004B4A0F" w:rsidRPr="00AC3826">
        <w:rPr>
          <w:rFonts w:ascii="Times New Roman" w:hAnsi="Times New Roman"/>
          <w:noProof/>
          <w:color w:val="000000"/>
          <w:sz w:val="24"/>
        </w:rPr>
        <w:t xml:space="preserve">associated </w:t>
      </w:r>
      <w:r w:rsidRPr="00AC3826">
        <w:rPr>
          <w:rFonts w:ascii="Times New Roman" w:hAnsi="Times New Roman"/>
          <w:noProof/>
          <w:color w:val="000000"/>
          <w:sz w:val="24"/>
        </w:rPr>
        <w:t>risk factor</w:t>
      </w:r>
      <w:r w:rsidR="004B4A0F" w:rsidRPr="00AC3826">
        <w:rPr>
          <w:rFonts w:ascii="Times New Roman" w:hAnsi="Times New Roman"/>
          <w:noProof/>
          <w:color w:val="000000"/>
          <w:sz w:val="24"/>
        </w:rPr>
        <w:t>.  T</w:t>
      </w:r>
      <w:r w:rsidRPr="00AC3826">
        <w:rPr>
          <w:rFonts w:ascii="Times New Roman" w:hAnsi="Times New Roman"/>
          <w:noProof/>
          <w:color w:val="000000"/>
          <w:sz w:val="24"/>
        </w:rPr>
        <w:t>he Preventive Health and Health Services Block Grant gives grantees the flexibility to prioritize the use of funds</w:t>
      </w:r>
      <w:r w:rsidR="004B4A0F" w:rsidRPr="00AC3826">
        <w:rPr>
          <w:rFonts w:ascii="Times New Roman" w:hAnsi="Times New Roman"/>
          <w:noProof/>
          <w:color w:val="000000"/>
          <w:sz w:val="24"/>
        </w:rPr>
        <w:t>,</w:t>
      </w:r>
      <w:r w:rsidRPr="00AC3826">
        <w:rPr>
          <w:rFonts w:ascii="Times New Roman" w:hAnsi="Times New Roman"/>
          <w:noProof/>
          <w:color w:val="000000"/>
          <w:sz w:val="24"/>
        </w:rPr>
        <w:t xml:space="preserve"> to fill funding gaps in programs that deal with leadin</w:t>
      </w:r>
      <w:r w:rsidR="004B4A0F" w:rsidRPr="00AC3826">
        <w:rPr>
          <w:rFonts w:ascii="Times New Roman" w:hAnsi="Times New Roman"/>
          <w:noProof/>
          <w:color w:val="000000"/>
          <w:sz w:val="24"/>
        </w:rPr>
        <w:t>g causes of death and disabilities</w:t>
      </w:r>
      <w:r w:rsidRPr="00AC3826">
        <w:rPr>
          <w:rFonts w:ascii="Times New Roman" w:hAnsi="Times New Roman"/>
          <w:noProof/>
          <w:color w:val="000000"/>
          <w:sz w:val="24"/>
        </w:rPr>
        <w:t xml:space="preserve"> and the ability to respond rapidly to emerging health issues, including outbreaks of foodborne infections and waterborne diseases.  This program provides all 50 states, the District of Columbia, 2 American Indian Tribes and 8 U.S. Territories with funding to address their own unique public health needs and challenges in innovative and locally defined ways.</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Award Information:</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Approximate Current Fiscal Year Funding:  $</w:t>
      </w:r>
      <w:r w:rsidR="007D3158" w:rsidRPr="00AC3826">
        <w:rPr>
          <w:rFonts w:ascii="Times New Roman" w:hAnsi="Times New Roman"/>
          <w:noProof/>
          <w:color w:val="000000"/>
          <w:sz w:val="24"/>
        </w:rPr>
        <w:t>147,109,167</w:t>
      </w:r>
      <w:r w:rsidRPr="00AC3826">
        <w:rPr>
          <w:rFonts w:ascii="Times New Roman" w:hAnsi="Times New Roman"/>
          <w:noProof/>
          <w:color w:val="000000"/>
          <w:sz w:val="24"/>
        </w:rPr>
        <w:t>.00</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Fiscal Year Funds:  Patient Protection and Affordable Health Care Act of 2010.</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Ant</w:t>
      </w:r>
      <w:r w:rsidR="007D3158" w:rsidRPr="00AC3826">
        <w:rPr>
          <w:rFonts w:ascii="Times New Roman" w:hAnsi="Times New Roman"/>
          <w:noProof/>
          <w:color w:val="000000"/>
          <w:sz w:val="24"/>
        </w:rPr>
        <w:t>icipated Award Date:  March</w:t>
      </w:r>
      <w:r w:rsidR="00303741" w:rsidRPr="00AC3826">
        <w:rPr>
          <w:rFonts w:ascii="Times New Roman" w:hAnsi="Times New Roman"/>
          <w:noProof/>
          <w:color w:val="000000"/>
          <w:sz w:val="24"/>
        </w:rPr>
        <w:t xml:space="preserve"> 2017</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303741"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 xml:space="preserve">Budget Period:  </w:t>
      </w:r>
      <w:r w:rsidR="007D3158" w:rsidRPr="00AC3826">
        <w:rPr>
          <w:rFonts w:ascii="Times New Roman" w:hAnsi="Times New Roman"/>
          <w:noProof/>
          <w:color w:val="000000"/>
          <w:sz w:val="24"/>
        </w:rPr>
        <w:t>24</w:t>
      </w:r>
      <w:r w:rsidR="009234C4" w:rsidRPr="00AC3826">
        <w:rPr>
          <w:rFonts w:ascii="Times New Roman" w:hAnsi="Times New Roman"/>
          <w:noProof/>
          <w:color w:val="000000"/>
          <w:sz w:val="24"/>
        </w:rPr>
        <w:t xml:space="preserve"> Months</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303741"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 xml:space="preserve">Project Period:  </w:t>
      </w:r>
      <w:r w:rsidR="007D3158" w:rsidRPr="00AC3826">
        <w:rPr>
          <w:rFonts w:ascii="Times New Roman" w:hAnsi="Times New Roman"/>
          <w:noProof/>
          <w:color w:val="000000"/>
          <w:sz w:val="24"/>
        </w:rPr>
        <w:t>24</w:t>
      </w:r>
      <w:r w:rsidR="009234C4" w:rsidRPr="00AC3826">
        <w:rPr>
          <w:rFonts w:ascii="Times New Roman" w:hAnsi="Times New Roman"/>
          <w:noProof/>
          <w:color w:val="000000"/>
          <w:sz w:val="24"/>
        </w:rPr>
        <w:t xml:space="preserve"> Months</w:t>
      </w:r>
    </w:p>
    <w:p w:rsidR="00883057" w:rsidRPr="00AC3826" w:rsidRDefault="00883057"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b/>
          <w:noProof/>
          <w:color w:val="000000"/>
          <w:sz w:val="24"/>
        </w:rPr>
        <w:t>Prevention Fund Reporting Requirements</w:t>
      </w:r>
      <w:r w:rsidRPr="00AC3826">
        <w:rPr>
          <w:rFonts w:ascii="Times New Roman" w:hAnsi="Times New Roman"/>
          <w:noProof/>
          <w:color w:val="000000"/>
          <w:sz w:val="24"/>
        </w:rPr>
        <w:t>:</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This award requires the grantee to complete projects or activities which are funded under the Prevention and Public Health Fund (PPHF) (Section 4002 of Public Law 111-148) and to report on use of PPHF funds provided through this award.  Information for these reports will be made available to the public.</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Grantees awarded a grant, cooperative agreement, or contract from such funds with a value of $25,000 or more shall produce reports on a semi-annual basis with a reporting cycle of January 1-June 30 and July 1-December 31; and email such reports to the CDC website (template and point of contact to be provided after award) no later than 20 calendar days after the end of each reporting period (i.e. July 20 and January 20, respectively).  Grantee reports must reference the NoA number and title of the grant, and include a summary of the activities undertaken and identify any sub-award (including the purpose of the award and the identity of each sub-recipient).</w:t>
      </w:r>
    </w:p>
    <w:p w:rsidR="009234C4" w:rsidRPr="00AC3826"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Default="009234C4"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u w:val="single"/>
        </w:rPr>
        <w:t>Responsibilies for Informing Sub-recipients:</w:t>
      </w:r>
      <w:r w:rsidRPr="00AC3826">
        <w:rPr>
          <w:rFonts w:ascii="Times New Roman" w:hAnsi="Times New Roman"/>
          <w:noProof/>
          <w:color w:val="000000"/>
          <w:sz w:val="24"/>
        </w:rPr>
        <w:t xml:space="preserve">  Grant</w:t>
      </w:r>
      <w:r>
        <w:rPr>
          <w:rFonts w:ascii="Times New Roman" w:hAnsi="Times New Roman"/>
          <w:noProof/>
          <w:color w:val="000000"/>
          <w:sz w:val="24"/>
        </w:rPr>
        <w:t>ees agree to separately identify each sub-recipient, document the executed date sub-award, date(s) of the disbusement of f</w:t>
      </w:r>
      <w:r w:rsidR="00983AE9">
        <w:rPr>
          <w:rFonts w:ascii="Times New Roman" w:hAnsi="Times New Roman"/>
          <w:noProof/>
          <w:color w:val="000000"/>
          <w:sz w:val="24"/>
        </w:rPr>
        <w:t xml:space="preserve">unds, the Federal award number and </w:t>
      </w:r>
      <w:r>
        <w:rPr>
          <w:rFonts w:ascii="Times New Roman" w:hAnsi="Times New Roman"/>
          <w:noProof/>
          <w:color w:val="000000"/>
          <w:sz w:val="24"/>
        </w:rPr>
        <w:t>any special CFDA number assigned to PPHF funds</w:t>
      </w:r>
      <w:r w:rsidR="00B43A55">
        <w:rPr>
          <w:rFonts w:ascii="Times New Roman" w:hAnsi="Times New Roman"/>
          <w:noProof/>
          <w:color w:val="000000"/>
          <w:sz w:val="24"/>
        </w:rPr>
        <w:t>.  When a grantee awards PPHF funds for an existing program, the informati</w:t>
      </w:r>
      <w:r w:rsidR="00983AE9">
        <w:rPr>
          <w:rFonts w:ascii="Times New Roman" w:hAnsi="Times New Roman"/>
          <w:noProof/>
          <w:color w:val="000000"/>
          <w:sz w:val="24"/>
        </w:rPr>
        <w:t>on furnished to sub-recipients s</w:t>
      </w:r>
      <w:r w:rsidR="00B43A55">
        <w:rPr>
          <w:rFonts w:ascii="Times New Roman" w:hAnsi="Times New Roman"/>
          <w:noProof/>
          <w:color w:val="000000"/>
          <w:sz w:val="24"/>
        </w:rPr>
        <w:t>hall distinguish the sub-awards of incremental PPHF funds for regular sub-</w:t>
      </w:r>
      <w:r w:rsidR="00B43A55">
        <w:rPr>
          <w:rFonts w:ascii="Times New Roman" w:hAnsi="Times New Roman"/>
          <w:noProof/>
          <w:color w:val="000000"/>
          <w:sz w:val="24"/>
        </w:rPr>
        <w:lastRenderedPageBreak/>
        <w:t>award under the existing program.</w:t>
      </w:r>
    </w:p>
    <w:p w:rsidR="00B43A55" w:rsidRP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B43A55" w:rsidRP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B43A55">
        <w:rPr>
          <w:rFonts w:ascii="Times New Roman" w:hAnsi="Times New Roman"/>
          <w:b/>
          <w:noProof/>
          <w:color w:val="000000"/>
          <w:sz w:val="24"/>
        </w:rPr>
        <w:t>Contact Information:</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B43A55" w:rsidRPr="009234C4"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9234C4"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Barbara (Rene’) Benyard, Grants Management Officer</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Centers for Disease Control and Prevention</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Office of Financial Resources</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2960 Brandywine Road, MS E01</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Atlanta, GA 30341</w:t>
      </w:r>
    </w:p>
    <w:p w:rsidR="00B43A55" w:rsidRDefault="00B43A55"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Telephone:  770 (488)</w:t>
      </w:r>
      <w:r w:rsidR="00B15707">
        <w:rPr>
          <w:rFonts w:ascii="Times New Roman" w:hAnsi="Times New Roman"/>
          <w:noProof/>
          <w:color w:val="000000"/>
          <w:sz w:val="24"/>
        </w:rPr>
        <w:t xml:space="preserve"> 2757</w:t>
      </w:r>
    </w:p>
    <w:p w:rsidR="00325254" w:rsidRDefault="00B15707"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Email: </w:t>
      </w:r>
      <w:hyperlink r:id="rId8" w:history="1">
        <w:r w:rsidRPr="00C06516">
          <w:rPr>
            <w:rStyle w:val="Hyperlink"/>
            <w:rFonts w:ascii="Times New Roman" w:hAnsi="Times New Roman"/>
            <w:noProof/>
            <w:sz w:val="24"/>
          </w:rPr>
          <w:t>RBenyard@cdc.gov</w:t>
        </w:r>
      </w:hyperlink>
      <w:r>
        <w:rPr>
          <w:rFonts w:ascii="Times New Roman" w:hAnsi="Times New Roman"/>
          <w:noProof/>
          <w:color w:val="000000"/>
          <w:sz w:val="24"/>
        </w:rPr>
        <w:t xml:space="preserve"> </w:t>
      </w:r>
    </w:p>
    <w:p w:rsidR="00B15707" w:rsidRDefault="00B15707"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B15707" w:rsidRPr="000E43F5" w:rsidRDefault="00B15707" w:rsidP="00B1570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Cs/>
        </w:rPr>
      </w:pPr>
    </w:p>
    <w:sectPr w:rsidR="00B15707" w:rsidRPr="000E43F5" w:rsidSect="006C0B92">
      <w:headerReference w:type="default" r:id="rId9"/>
      <w:footerReference w:type="first" r:id="rId10"/>
      <w:endnotePr>
        <w:numFmt w:val="decimal"/>
      </w:endnotePr>
      <w:pgSz w:w="12240" w:h="15840" w:code="1"/>
      <w:pgMar w:top="1440" w:right="1260" w:bottom="1440" w:left="1440" w:header="432" w:footer="432"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456" w:rsidRDefault="006A3456">
      <w:r>
        <w:separator/>
      </w:r>
    </w:p>
  </w:endnote>
  <w:endnote w:type="continuationSeparator" w:id="0">
    <w:p w:rsidR="006A3456" w:rsidRDefault="006A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22F" w:rsidRDefault="00EC722F">
    <w:pPr>
      <w:pStyle w:val="Footer"/>
    </w:pPr>
  </w:p>
  <w:p w:rsidR="00EC722F" w:rsidRDefault="00EC722F">
    <w:pPr>
      <w:pStyle w:val="Footer"/>
    </w:pPr>
  </w:p>
  <w:p w:rsidR="00EC722F" w:rsidRPr="0024498F" w:rsidRDefault="00EC722F" w:rsidP="00606871">
    <w:pPr>
      <w:pStyle w:val="Footer"/>
      <w:ind w:left="4320"/>
      <w:rPr>
        <w:rFonts w:ascii="Palatino Linotype" w:hAnsi="Palatino Linotype"/>
        <w:color w:val="000000"/>
      </w:rPr>
    </w:pPr>
    <w:r>
      <w:rPr>
        <w:rFonts w:ascii="Palatino Linotype" w:hAnsi="Palatino Linotype"/>
        <w:color w:val="000000"/>
      </w:rPr>
      <w:tab/>
    </w:r>
    <w:r>
      <w:rPr>
        <w:rFonts w:ascii="Palatino Linotype" w:hAnsi="Palatino Linotype"/>
        <w:color w:val="000000"/>
      </w:rPr>
      <w:tab/>
      <w:t xml:space="preserve"> </w:t>
    </w:r>
  </w:p>
  <w:p w:rsidR="00EC722F" w:rsidRPr="00CB3704" w:rsidRDefault="00EC722F" w:rsidP="00CB3704">
    <w:pPr>
      <w:pStyle w:val="Footer"/>
      <w:rPr>
        <w:rFonts w:ascii="Times New Roman" w:hAnsi="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456" w:rsidRDefault="006A3456">
      <w:r>
        <w:separator/>
      </w:r>
    </w:p>
  </w:footnote>
  <w:footnote w:type="continuationSeparator" w:id="0">
    <w:p w:rsidR="006A3456" w:rsidRDefault="006A3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22F" w:rsidRPr="0024498F" w:rsidRDefault="00EC722F">
    <w:pPr>
      <w:pStyle w:val="Header"/>
      <w:rPr>
        <w:rFonts w:ascii="Palatino Linotype" w:hAnsi="Palatino Linotype"/>
        <w:color w:val="000000"/>
      </w:rPr>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lvl w:ilvl="0">
      <w:start w:val="1"/>
      <w:numFmt w:val="decimal"/>
      <w:suff w:val="nothing"/>
      <w:lvlText w:val="%1."/>
      <w:lvlJc w:val="left"/>
    </w:lvl>
  </w:abstractNum>
  <w:abstractNum w:abstractNumId="1" w15:restartNumberingAfterBreak="0">
    <w:nsid w:val="00000004"/>
    <w:multiLevelType w:val="singleLevel"/>
    <w:tmpl w:val="00000004"/>
    <w:lvl w:ilvl="0">
      <w:start w:val="3"/>
      <w:numFmt w:val="decimal"/>
      <w:suff w:val="nothing"/>
      <w:lvlText w:val="%1."/>
      <w:lvlJc w:val="left"/>
    </w:lvl>
  </w:abstractNum>
  <w:abstractNum w:abstractNumId="2" w15:restartNumberingAfterBreak="0">
    <w:nsid w:val="00000005"/>
    <w:multiLevelType w:val="singleLevel"/>
    <w:tmpl w:val="00000005"/>
    <w:lvl w:ilvl="0">
      <w:start w:val="5"/>
      <w:numFmt w:val="decimal"/>
      <w:suff w:val="nothing"/>
      <w:lvlText w:val="%1."/>
      <w:lvlJc w:val="left"/>
    </w:lvl>
  </w:abstractNum>
  <w:abstractNum w:abstractNumId="3" w15:restartNumberingAfterBreak="0">
    <w:nsid w:val="00000006"/>
    <w:multiLevelType w:val="multilevel"/>
    <w:tmpl w:val="00000006"/>
    <w:lvl w:ilvl="0">
      <w:start w:val="1"/>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lowerRoman"/>
      <w:suff w:val="nothing"/>
      <w:lvlText w:val="%9)"/>
      <w:lvlJc w:val="left"/>
    </w:lvl>
  </w:abstractNum>
  <w:abstractNum w:abstractNumId="4"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6724C"/>
    <w:multiLevelType w:val="hybridMultilevel"/>
    <w:tmpl w:val="2B386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D5B16"/>
    <w:multiLevelType w:val="hybridMultilevel"/>
    <w:tmpl w:val="6552590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2AC33F2C"/>
    <w:multiLevelType w:val="hybridMultilevel"/>
    <w:tmpl w:val="5E64B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3E6ACC"/>
    <w:multiLevelType w:val="hybridMultilevel"/>
    <w:tmpl w:val="944A799C"/>
    <w:lvl w:ilvl="0" w:tplc="CE7ACDDC">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326935AA"/>
    <w:multiLevelType w:val="hybridMultilevel"/>
    <w:tmpl w:val="C7C2E728"/>
    <w:lvl w:ilvl="0" w:tplc="8FB6BD5C">
      <w:start w:val="1"/>
      <w:numFmt w:val="upperLetter"/>
      <w:lvlText w:val="%1."/>
      <w:lvlJc w:val="left"/>
      <w:pPr>
        <w:tabs>
          <w:tab w:val="num" w:pos="1440"/>
        </w:tabs>
        <w:ind w:left="1440" w:hanging="360"/>
      </w:pPr>
      <w:rPr>
        <w:rFonts w:hint="default"/>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EA3158"/>
    <w:multiLevelType w:val="hybridMultilevel"/>
    <w:tmpl w:val="0D5240E4"/>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2" w15:restartNumberingAfterBreak="0">
    <w:nsid w:val="37480709"/>
    <w:multiLevelType w:val="hybridMultilevel"/>
    <w:tmpl w:val="3A820FD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B5654BC"/>
    <w:multiLevelType w:val="hybridMultilevel"/>
    <w:tmpl w:val="B270F9CE"/>
    <w:lvl w:ilvl="0" w:tplc="C556EA6C">
      <w:start w:val="1"/>
      <w:numFmt w:val="decimal"/>
      <w:lvlText w:val="%1."/>
      <w:lvlJc w:val="left"/>
      <w:pPr>
        <w:tabs>
          <w:tab w:val="num" w:pos="1800"/>
        </w:tabs>
        <w:ind w:left="1800" w:hanging="360"/>
      </w:pPr>
      <w:rPr>
        <w:rFonts w:hint="default"/>
        <w:b/>
        <w:i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CE5293"/>
    <w:multiLevelType w:val="hybridMultilevel"/>
    <w:tmpl w:val="44F003D4"/>
    <w:lvl w:ilvl="0" w:tplc="931C4582">
      <w:start w:val="1"/>
      <w:numFmt w:val="decimal"/>
      <w:lvlText w:val="%1."/>
      <w:lvlJc w:val="left"/>
      <w:pPr>
        <w:tabs>
          <w:tab w:val="num" w:pos="1800"/>
        </w:tabs>
        <w:ind w:left="1800" w:hanging="360"/>
      </w:pPr>
      <w:rPr>
        <w:rFonts w:hint="default"/>
        <w:b/>
        <w:i w:val="0"/>
        <w:color w:val="000000"/>
      </w:rPr>
    </w:lvl>
    <w:lvl w:ilvl="1" w:tplc="0534ED88">
      <w:start w:val="1"/>
      <w:numFmt w:val="upperLetter"/>
      <w:lvlText w:val="%2."/>
      <w:lvlJc w:val="left"/>
      <w:pPr>
        <w:tabs>
          <w:tab w:val="num" w:pos="2160"/>
        </w:tabs>
        <w:ind w:left="2160" w:hanging="360"/>
      </w:pPr>
      <w:rPr>
        <w:rFonts w:ascii="Times New Roman" w:eastAsia="Times New Roman" w:hAnsi="Times New Roman" w:cs="Times New Roman"/>
        <w:b w:val="0"/>
      </w:rPr>
    </w:lvl>
    <w:lvl w:ilvl="2" w:tplc="24C4C1B2">
      <w:start w:val="1"/>
      <w:numFmt w:val="lowerRoman"/>
      <w:lvlText w:val="%3."/>
      <w:lvlJc w:val="right"/>
      <w:pPr>
        <w:tabs>
          <w:tab w:val="num" w:pos="2880"/>
        </w:tabs>
        <w:ind w:left="2880" w:hanging="180"/>
      </w:pPr>
      <w:rPr>
        <w:b w:val="0"/>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5A9E324B"/>
    <w:multiLevelType w:val="hybridMultilevel"/>
    <w:tmpl w:val="8924A178"/>
    <w:lvl w:ilvl="0" w:tplc="05C4B3E2">
      <w:start w:val="1"/>
      <w:numFmt w:val="upperLetter"/>
      <w:lvlText w:val="%1."/>
      <w:lvlJc w:val="left"/>
      <w:pPr>
        <w:ind w:left="2160" w:hanging="360"/>
      </w:pPr>
      <w:rPr>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D71D71"/>
    <w:multiLevelType w:val="hybridMultilevel"/>
    <w:tmpl w:val="506A4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1E40A5C"/>
    <w:multiLevelType w:val="hybridMultilevel"/>
    <w:tmpl w:val="7A069486"/>
    <w:lvl w:ilvl="0" w:tplc="4A54F3C0">
      <w:start w:val="1"/>
      <w:numFmt w:val="upperLetter"/>
      <w:lvlText w:val="%1."/>
      <w:lvlJc w:val="left"/>
      <w:pPr>
        <w:tabs>
          <w:tab w:val="num" w:pos="1800"/>
        </w:tabs>
        <w:ind w:left="180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4C8645A"/>
    <w:multiLevelType w:val="hybridMultilevel"/>
    <w:tmpl w:val="FE48CC14"/>
    <w:lvl w:ilvl="0" w:tplc="7974BF14">
      <w:start w:val="1"/>
      <w:numFmt w:val="upperLetter"/>
      <w:lvlText w:val="%1."/>
      <w:lvlJc w:val="left"/>
      <w:pPr>
        <w:tabs>
          <w:tab w:val="num" w:pos="1800"/>
        </w:tabs>
        <w:ind w:left="1800" w:hanging="360"/>
      </w:pPr>
      <w:rPr>
        <w:rFonts w:hint="default"/>
      </w:rPr>
    </w:lvl>
    <w:lvl w:ilvl="1" w:tplc="A0E883E4">
      <w:start w:val="1"/>
      <w:numFmt w:val="upperLetter"/>
      <w:lvlText w:val="%2."/>
      <w:lvlJc w:val="left"/>
      <w:pPr>
        <w:tabs>
          <w:tab w:val="num" w:pos="1440"/>
        </w:tabs>
        <w:ind w:left="1440" w:hanging="360"/>
      </w:pPr>
      <w:rPr>
        <w:rFonts w:hint="default"/>
        <w:color w:val="00000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284BA3"/>
    <w:multiLevelType w:val="hybridMultilevel"/>
    <w:tmpl w:val="54F21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D7F392D"/>
    <w:multiLevelType w:val="hybridMultilevel"/>
    <w:tmpl w:val="513825D0"/>
    <w:lvl w:ilvl="0" w:tplc="04090017">
      <w:start w:val="1"/>
      <w:numFmt w:val="lowerLetter"/>
      <w:lvlText w:val="%1)"/>
      <w:lvlJc w:val="left"/>
      <w:pPr>
        <w:ind w:left="2880" w:hanging="360"/>
      </w:pPr>
      <w:rPr>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12"/>
  </w:num>
  <w:num w:numId="2">
    <w:abstractNumId w:val="13"/>
  </w:num>
  <w:num w:numId="3">
    <w:abstractNumId w:val="20"/>
  </w:num>
  <w:num w:numId="4">
    <w:abstractNumId w:val="15"/>
  </w:num>
  <w:num w:numId="5">
    <w:abstractNumId w:val="19"/>
  </w:num>
  <w:num w:numId="6">
    <w:abstractNumId w:val="10"/>
  </w:num>
  <w:num w:numId="7">
    <w:abstractNumId w:val="14"/>
  </w:num>
  <w:num w:numId="8">
    <w:abstractNumId w:val="22"/>
  </w:num>
  <w:num w:numId="9">
    <w:abstractNumId w:val="16"/>
  </w:num>
  <w:num w:numId="10">
    <w:abstractNumId w:val="9"/>
  </w:num>
  <w:num w:numId="11">
    <w:abstractNumId w:val="11"/>
  </w:num>
  <w:num w:numId="12">
    <w:abstractNumId w:val="7"/>
  </w:num>
  <w:num w:numId="13">
    <w:abstractNumId w:val="8"/>
  </w:num>
  <w:num w:numId="14">
    <w:abstractNumId w:val="0"/>
  </w:num>
  <w:num w:numId="15">
    <w:abstractNumId w:val="1"/>
  </w:num>
  <w:num w:numId="16">
    <w:abstractNumId w:val="2"/>
  </w:num>
  <w:num w:numId="17">
    <w:abstractNumId w:val="3"/>
  </w:num>
  <w:num w:numId="18">
    <w:abstractNumId w:val="11"/>
  </w:num>
  <w:num w:numId="19">
    <w:abstractNumId w:val="18"/>
  </w:num>
  <w:num w:numId="20">
    <w:abstractNumId w:val="4"/>
  </w:num>
  <w:num w:numId="21">
    <w:abstractNumId w:val="17"/>
  </w:num>
  <w:num w:numId="22">
    <w:abstractNumId w:val="6"/>
  </w:num>
  <w:num w:numId="23">
    <w:abstractNumId w:val="5"/>
  </w:num>
  <w:num w:numId="24">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8F9"/>
    <w:rsid w:val="0001344C"/>
    <w:rsid w:val="0002300D"/>
    <w:rsid w:val="000312E4"/>
    <w:rsid w:val="00057076"/>
    <w:rsid w:val="00061E04"/>
    <w:rsid w:val="00063D4F"/>
    <w:rsid w:val="00067D8D"/>
    <w:rsid w:val="00080F66"/>
    <w:rsid w:val="000919D9"/>
    <w:rsid w:val="000929BC"/>
    <w:rsid w:val="000A4FAC"/>
    <w:rsid w:val="000B0ED6"/>
    <w:rsid w:val="000B166E"/>
    <w:rsid w:val="000B7D20"/>
    <w:rsid w:val="000C6B6B"/>
    <w:rsid w:val="000E43F5"/>
    <w:rsid w:val="000F059B"/>
    <w:rsid w:val="000F2BF0"/>
    <w:rsid w:val="001156C4"/>
    <w:rsid w:val="00121D33"/>
    <w:rsid w:val="0014309C"/>
    <w:rsid w:val="00161401"/>
    <w:rsid w:val="001A076D"/>
    <w:rsid w:val="001B3F78"/>
    <w:rsid w:val="001C175C"/>
    <w:rsid w:val="001C1E2F"/>
    <w:rsid w:val="001F30EF"/>
    <w:rsid w:val="00201DC5"/>
    <w:rsid w:val="00203784"/>
    <w:rsid w:val="0020447A"/>
    <w:rsid w:val="00204998"/>
    <w:rsid w:val="002050A9"/>
    <w:rsid w:val="00215766"/>
    <w:rsid w:val="002158A3"/>
    <w:rsid w:val="002242A3"/>
    <w:rsid w:val="00224DFE"/>
    <w:rsid w:val="00226679"/>
    <w:rsid w:val="00226A3A"/>
    <w:rsid w:val="0023611C"/>
    <w:rsid w:val="00242F1D"/>
    <w:rsid w:val="0024498F"/>
    <w:rsid w:val="0025527E"/>
    <w:rsid w:val="00261C01"/>
    <w:rsid w:val="00267FD0"/>
    <w:rsid w:val="002A67FF"/>
    <w:rsid w:val="002D3561"/>
    <w:rsid w:val="002F34C0"/>
    <w:rsid w:val="002F5294"/>
    <w:rsid w:val="002F6FC7"/>
    <w:rsid w:val="00300678"/>
    <w:rsid w:val="00303741"/>
    <w:rsid w:val="00312E4D"/>
    <w:rsid w:val="00324EA6"/>
    <w:rsid w:val="00325254"/>
    <w:rsid w:val="003259C2"/>
    <w:rsid w:val="0033184E"/>
    <w:rsid w:val="0033779F"/>
    <w:rsid w:val="00340BC5"/>
    <w:rsid w:val="003442FA"/>
    <w:rsid w:val="00353A5E"/>
    <w:rsid w:val="003543B9"/>
    <w:rsid w:val="00367378"/>
    <w:rsid w:val="003703DF"/>
    <w:rsid w:val="00371251"/>
    <w:rsid w:val="00372058"/>
    <w:rsid w:val="0037663D"/>
    <w:rsid w:val="003913DE"/>
    <w:rsid w:val="003A5632"/>
    <w:rsid w:val="003A7874"/>
    <w:rsid w:val="003B3B3C"/>
    <w:rsid w:val="003B7A5F"/>
    <w:rsid w:val="003D09B6"/>
    <w:rsid w:val="003D2E86"/>
    <w:rsid w:val="003D3D57"/>
    <w:rsid w:val="003F1AE1"/>
    <w:rsid w:val="003F7A92"/>
    <w:rsid w:val="0040254E"/>
    <w:rsid w:val="004051F3"/>
    <w:rsid w:val="00405EEB"/>
    <w:rsid w:val="00415AF3"/>
    <w:rsid w:val="0043144C"/>
    <w:rsid w:val="0043349A"/>
    <w:rsid w:val="00444084"/>
    <w:rsid w:val="00451909"/>
    <w:rsid w:val="00466B46"/>
    <w:rsid w:val="00470467"/>
    <w:rsid w:val="00471697"/>
    <w:rsid w:val="00481497"/>
    <w:rsid w:val="00481514"/>
    <w:rsid w:val="00485792"/>
    <w:rsid w:val="00491848"/>
    <w:rsid w:val="004A6CAB"/>
    <w:rsid w:val="004B08F3"/>
    <w:rsid w:val="004B4A0F"/>
    <w:rsid w:val="004C3C80"/>
    <w:rsid w:val="004C4C67"/>
    <w:rsid w:val="004D25E4"/>
    <w:rsid w:val="004E4827"/>
    <w:rsid w:val="004E4EAE"/>
    <w:rsid w:val="004E68E7"/>
    <w:rsid w:val="004F01C6"/>
    <w:rsid w:val="004F1433"/>
    <w:rsid w:val="00502A7A"/>
    <w:rsid w:val="00511FF5"/>
    <w:rsid w:val="00517235"/>
    <w:rsid w:val="00536DD6"/>
    <w:rsid w:val="00544514"/>
    <w:rsid w:val="00555D83"/>
    <w:rsid w:val="0056694A"/>
    <w:rsid w:val="00576659"/>
    <w:rsid w:val="00577871"/>
    <w:rsid w:val="00581651"/>
    <w:rsid w:val="00582B41"/>
    <w:rsid w:val="00582F66"/>
    <w:rsid w:val="00594F9D"/>
    <w:rsid w:val="005A097D"/>
    <w:rsid w:val="005A2E90"/>
    <w:rsid w:val="005B49FF"/>
    <w:rsid w:val="005C1652"/>
    <w:rsid w:val="005D68B0"/>
    <w:rsid w:val="005E1A4E"/>
    <w:rsid w:val="005F0AD4"/>
    <w:rsid w:val="00606871"/>
    <w:rsid w:val="0061197C"/>
    <w:rsid w:val="00613939"/>
    <w:rsid w:val="006315D5"/>
    <w:rsid w:val="0063491E"/>
    <w:rsid w:val="006414EE"/>
    <w:rsid w:val="00642A09"/>
    <w:rsid w:val="00661AB0"/>
    <w:rsid w:val="0066696E"/>
    <w:rsid w:val="006956F5"/>
    <w:rsid w:val="006A0AA4"/>
    <w:rsid w:val="006A3456"/>
    <w:rsid w:val="006B0883"/>
    <w:rsid w:val="006B28AD"/>
    <w:rsid w:val="006C0B92"/>
    <w:rsid w:val="006D2BA3"/>
    <w:rsid w:val="006E05AF"/>
    <w:rsid w:val="006E52A7"/>
    <w:rsid w:val="006F77C0"/>
    <w:rsid w:val="00700D9A"/>
    <w:rsid w:val="0071299C"/>
    <w:rsid w:val="00713E3E"/>
    <w:rsid w:val="00734C58"/>
    <w:rsid w:val="00740E78"/>
    <w:rsid w:val="00745CFC"/>
    <w:rsid w:val="00754410"/>
    <w:rsid w:val="00754D17"/>
    <w:rsid w:val="00761290"/>
    <w:rsid w:val="007741B6"/>
    <w:rsid w:val="00776522"/>
    <w:rsid w:val="00784AF6"/>
    <w:rsid w:val="00793357"/>
    <w:rsid w:val="007A2833"/>
    <w:rsid w:val="007A67E6"/>
    <w:rsid w:val="007A773A"/>
    <w:rsid w:val="007B255D"/>
    <w:rsid w:val="007B3E9D"/>
    <w:rsid w:val="007C05F1"/>
    <w:rsid w:val="007D0734"/>
    <w:rsid w:val="007D3158"/>
    <w:rsid w:val="007D3583"/>
    <w:rsid w:val="007D4B87"/>
    <w:rsid w:val="007E1FCC"/>
    <w:rsid w:val="007F3F7A"/>
    <w:rsid w:val="007F7E71"/>
    <w:rsid w:val="00805B9F"/>
    <w:rsid w:val="0080716C"/>
    <w:rsid w:val="008124D0"/>
    <w:rsid w:val="00817D78"/>
    <w:rsid w:val="00824F06"/>
    <w:rsid w:val="00836C5A"/>
    <w:rsid w:val="0084097A"/>
    <w:rsid w:val="008409CF"/>
    <w:rsid w:val="00863668"/>
    <w:rsid w:val="00883057"/>
    <w:rsid w:val="00887673"/>
    <w:rsid w:val="0089010F"/>
    <w:rsid w:val="00890D3B"/>
    <w:rsid w:val="00892D57"/>
    <w:rsid w:val="008A7A0D"/>
    <w:rsid w:val="008B4CCD"/>
    <w:rsid w:val="008C027E"/>
    <w:rsid w:val="008C27DC"/>
    <w:rsid w:val="008C4014"/>
    <w:rsid w:val="008D665E"/>
    <w:rsid w:val="008D6690"/>
    <w:rsid w:val="008F1C6C"/>
    <w:rsid w:val="008F40DE"/>
    <w:rsid w:val="00903881"/>
    <w:rsid w:val="009234C4"/>
    <w:rsid w:val="009320C4"/>
    <w:rsid w:val="00944909"/>
    <w:rsid w:val="009556B7"/>
    <w:rsid w:val="00963095"/>
    <w:rsid w:val="00963246"/>
    <w:rsid w:val="009638AF"/>
    <w:rsid w:val="00970D16"/>
    <w:rsid w:val="00972E62"/>
    <w:rsid w:val="00973D75"/>
    <w:rsid w:val="00982228"/>
    <w:rsid w:val="00982F7F"/>
    <w:rsid w:val="00983AE9"/>
    <w:rsid w:val="009C7958"/>
    <w:rsid w:val="009D6AFC"/>
    <w:rsid w:val="009F464D"/>
    <w:rsid w:val="009F6ABA"/>
    <w:rsid w:val="00A005A7"/>
    <w:rsid w:val="00A0608A"/>
    <w:rsid w:val="00A06A98"/>
    <w:rsid w:val="00A21D8A"/>
    <w:rsid w:val="00A2438A"/>
    <w:rsid w:val="00A35A88"/>
    <w:rsid w:val="00A51B65"/>
    <w:rsid w:val="00A67C89"/>
    <w:rsid w:val="00A73012"/>
    <w:rsid w:val="00A776E7"/>
    <w:rsid w:val="00A84FB3"/>
    <w:rsid w:val="00A96882"/>
    <w:rsid w:val="00AA6B12"/>
    <w:rsid w:val="00AB13CD"/>
    <w:rsid w:val="00AB28C8"/>
    <w:rsid w:val="00AC1955"/>
    <w:rsid w:val="00AC3826"/>
    <w:rsid w:val="00B011FD"/>
    <w:rsid w:val="00B05585"/>
    <w:rsid w:val="00B15707"/>
    <w:rsid w:val="00B3241D"/>
    <w:rsid w:val="00B34369"/>
    <w:rsid w:val="00B406E0"/>
    <w:rsid w:val="00B419B2"/>
    <w:rsid w:val="00B43A55"/>
    <w:rsid w:val="00B4532A"/>
    <w:rsid w:val="00B5448F"/>
    <w:rsid w:val="00B6367D"/>
    <w:rsid w:val="00B7466A"/>
    <w:rsid w:val="00B85A15"/>
    <w:rsid w:val="00B87566"/>
    <w:rsid w:val="00B91403"/>
    <w:rsid w:val="00B9297F"/>
    <w:rsid w:val="00BA179D"/>
    <w:rsid w:val="00BA6D2B"/>
    <w:rsid w:val="00BB6864"/>
    <w:rsid w:val="00BB7162"/>
    <w:rsid w:val="00BC5894"/>
    <w:rsid w:val="00BC6CC6"/>
    <w:rsid w:val="00BD7585"/>
    <w:rsid w:val="00BE33BD"/>
    <w:rsid w:val="00BE5BC7"/>
    <w:rsid w:val="00BF062B"/>
    <w:rsid w:val="00BF40A5"/>
    <w:rsid w:val="00C0533D"/>
    <w:rsid w:val="00C1295F"/>
    <w:rsid w:val="00C21B3C"/>
    <w:rsid w:val="00C30E87"/>
    <w:rsid w:val="00C3192F"/>
    <w:rsid w:val="00C4094F"/>
    <w:rsid w:val="00C45D7D"/>
    <w:rsid w:val="00C4606F"/>
    <w:rsid w:val="00C53222"/>
    <w:rsid w:val="00C636F7"/>
    <w:rsid w:val="00C662E8"/>
    <w:rsid w:val="00C82C12"/>
    <w:rsid w:val="00C90E8C"/>
    <w:rsid w:val="00CA653B"/>
    <w:rsid w:val="00CB3704"/>
    <w:rsid w:val="00CB4226"/>
    <w:rsid w:val="00CB6D50"/>
    <w:rsid w:val="00CC4B03"/>
    <w:rsid w:val="00CC4E25"/>
    <w:rsid w:val="00CC55C8"/>
    <w:rsid w:val="00CD5894"/>
    <w:rsid w:val="00CE0761"/>
    <w:rsid w:val="00CE464C"/>
    <w:rsid w:val="00CF3C42"/>
    <w:rsid w:val="00D00112"/>
    <w:rsid w:val="00D122BB"/>
    <w:rsid w:val="00D165D9"/>
    <w:rsid w:val="00D40E36"/>
    <w:rsid w:val="00D6550A"/>
    <w:rsid w:val="00D659DA"/>
    <w:rsid w:val="00D65DAC"/>
    <w:rsid w:val="00D763EF"/>
    <w:rsid w:val="00D768AC"/>
    <w:rsid w:val="00D91841"/>
    <w:rsid w:val="00DA2A58"/>
    <w:rsid w:val="00DA6440"/>
    <w:rsid w:val="00DB0A5C"/>
    <w:rsid w:val="00DC061A"/>
    <w:rsid w:val="00DD054C"/>
    <w:rsid w:val="00DE6EC6"/>
    <w:rsid w:val="00DE7AB0"/>
    <w:rsid w:val="00DF2579"/>
    <w:rsid w:val="00E03FEE"/>
    <w:rsid w:val="00E1021D"/>
    <w:rsid w:val="00E10D10"/>
    <w:rsid w:val="00E154D4"/>
    <w:rsid w:val="00E307A4"/>
    <w:rsid w:val="00E30BB3"/>
    <w:rsid w:val="00E70DC0"/>
    <w:rsid w:val="00E81BAB"/>
    <w:rsid w:val="00E867F8"/>
    <w:rsid w:val="00E95720"/>
    <w:rsid w:val="00EA20C6"/>
    <w:rsid w:val="00EB38F9"/>
    <w:rsid w:val="00EC1E47"/>
    <w:rsid w:val="00EC21B8"/>
    <w:rsid w:val="00EC274D"/>
    <w:rsid w:val="00EC33C8"/>
    <w:rsid w:val="00EC722F"/>
    <w:rsid w:val="00ED4033"/>
    <w:rsid w:val="00EE0322"/>
    <w:rsid w:val="00F04816"/>
    <w:rsid w:val="00F11816"/>
    <w:rsid w:val="00F217B6"/>
    <w:rsid w:val="00F22C67"/>
    <w:rsid w:val="00F240A9"/>
    <w:rsid w:val="00F2782F"/>
    <w:rsid w:val="00F44A06"/>
    <w:rsid w:val="00F47FA0"/>
    <w:rsid w:val="00F53A2F"/>
    <w:rsid w:val="00F64345"/>
    <w:rsid w:val="00F645A1"/>
    <w:rsid w:val="00F72A7E"/>
    <w:rsid w:val="00F77D6B"/>
    <w:rsid w:val="00F81882"/>
    <w:rsid w:val="00F93524"/>
    <w:rsid w:val="00F9398C"/>
    <w:rsid w:val="00F95325"/>
    <w:rsid w:val="00FA6ACD"/>
    <w:rsid w:val="00FB2BD6"/>
    <w:rsid w:val="00FE618C"/>
    <w:rsid w:val="00FF37CB"/>
    <w:rsid w:val="00FF5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3C7A62BA-5429-4A8E-9949-7F9335E5C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tabs>
        <w:tab w:val="left" w:pos="288"/>
        <w:tab w:val="left" w:pos="1368"/>
        <w:tab w:val="left" w:pos="2160"/>
        <w:tab w:val="left" w:pos="2880"/>
        <w:tab w:val="left" w:pos="3690"/>
        <w:tab w:val="left" w:pos="4320"/>
        <w:tab w:val="left" w:pos="5040"/>
        <w:tab w:val="left" w:pos="8496"/>
      </w:tabs>
      <w:ind w:left="1440" w:right="1296"/>
      <w:jc w:val="both"/>
      <w:outlineLvl w:val="0"/>
    </w:pPr>
    <w:rPr>
      <w:rFonts w:ascii="Times New Roman" w:hAnsi="Times New Roman"/>
      <w:sz w:val="24"/>
    </w:rPr>
  </w:style>
  <w:style w:type="paragraph" w:styleId="Heading2">
    <w:name w:val="heading 2"/>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outlineLvl w:val="1"/>
    </w:pPr>
    <w:rPr>
      <w:rFonts w:ascii="Times New Roman" w:hAnsi="Times New Roman"/>
      <w:noProof/>
      <w:sz w:val="24"/>
    </w:rPr>
  </w:style>
  <w:style w:type="paragraph" w:styleId="Heading3">
    <w:name w:val="heading 3"/>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center"/>
      <w:outlineLvl w:val="2"/>
    </w:pPr>
    <w:rPr>
      <w:rFonts w:ascii="Times New Roman" w:hAnsi="Times New Roman"/>
      <w:b/>
      <w:bCs/>
      <w:noProof/>
      <w:sz w:val="24"/>
      <w:u w:val="single"/>
    </w:rPr>
  </w:style>
  <w:style w:type="paragraph" w:styleId="Heading4">
    <w:name w:val="heading 4"/>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outlineLvl w:val="3"/>
    </w:pPr>
    <w:rPr>
      <w:rFonts w:ascii="Times New Roman" w:hAnsi="Times New Roman"/>
      <w:noProof/>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widowControl/>
      <w:autoSpaceDE/>
      <w:autoSpaceDN/>
      <w:adjustRightInd/>
      <w:ind w:left="1260"/>
    </w:pPr>
    <w:rPr>
      <w:rFonts w:ascii="Times New Roman" w:hAnsi="Times New Roman"/>
      <w:sz w:val="24"/>
    </w:rPr>
  </w:style>
  <w:style w:type="character" w:styleId="PageNumber">
    <w:name w:val="page number"/>
    <w:basedOn w:val="DefaultParagraphFont"/>
  </w:style>
  <w:style w:type="paragraph" w:styleId="BlockText">
    <w:name w:val="Block Text"/>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rsid w:val="003442FA"/>
    <w:rPr>
      <w:color w:val="800080"/>
      <w:u w:val="single"/>
    </w:rPr>
  </w:style>
  <w:style w:type="paragraph" w:styleId="ListParagraph">
    <w:name w:val="List Paragraph"/>
    <w:basedOn w:val="Normal"/>
    <w:uiPriority w:val="34"/>
    <w:qFormat/>
    <w:rsid w:val="00BB7162"/>
    <w:pPr>
      <w:widowControl/>
      <w:autoSpaceDE/>
      <w:autoSpaceDN/>
      <w:adjustRightInd/>
      <w:ind w:left="720"/>
    </w:pPr>
    <w:rPr>
      <w:rFonts w:ascii="Times New Roman" w:eastAsia="Calibri" w:hAnsi="Times New Roman"/>
      <w:sz w:val="24"/>
    </w:rPr>
  </w:style>
  <w:style w:type="character" w:customStyle="1" w:styleId="FooterChar">
    <w:name w:val="Footer Char"/>
    <w:link w:val="Footer"/>
    <w:uiPriority w:val="99"/>
    <w:rsid w:val="00C636F7"/>
    <w:rPr>
      <w:rFonts w:ascii="Courier" w:hAnsi="Courier"/>
      <w:szCs w:val="24"/>
    </w:rPr>
  </w:style>
  <w:style w:type="paragraph" w:customStyle="1" w:styleId="Level1">
    <w:name w:val="Level 1"/>
    <w:basedOn w:val="Normal"/>
    <w:rsid w:val="001430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ind w:left="576" w:hanging="576"/>
    </w:pPr>
    <w:rPr>
      <w:rFonts w:ascii="Times New Roman" w:hAnsi="Times New Roman"/>
      <w:sz w:val="24"/>
      <w:szCs w:val="20"/>
    </w:rPr>
  </w:style>
  <w:style w:type="paragraph" w:customStyle="1" w:styleId="Quick1">
    <w:name w:val="Quick 1."/>
    <w:basedOn w:val="Normal"/>
    <w:rsid w:val="001430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ind w:left="576" w:hanging="576"/>
    </w:pPr>
    <w:rPr>
      <w:rFonts w:ascii="Times New Roman" w:hAnsi="Times New Roman"/>
      <w:sz w:val="24"/>
      <w:szCs w:val="20"/>
    </w:rPr>
  </w:style>
  <w:style w:type="character" w:customStyle="1" w:styleId="QuickFormat2">
    <w:name w:val="QuickFormat2"/>
    <w:rsid w:val="0014309C"/>
    <w:rPr>
      <w:rFonts w:ascii="Arial" w:hAnsi="Arial"/>
      <w:b/>
      <w:i/>
      <w:color w:val="000000"/>
      <w:sz w:val="24"/>
    </w:rPr>
  </w:style>
  <w:style w:type="paragraph" w:customStyle="1" w:styleId="QuickFormat3">
    <w:name w:val="QuickFormat3"/>
    <w:basedOn w:val="Normal"/>
    <w:rsid w:val="0014309C"/>
    <w:pPr>
      <w:autoSpaceDE/>
      <w:autoSpaceDN/>
      <w:adjustRightInd/>
    </w:pPr>
    <w:rPr>
      <w:rFonts w:ascii="Arial Narrow" w:hAnsi="Arial Narrow"/>
      <w:b/>
      <w:color w:val="000000"/>
      <w:sz w:val="24"/>
      <w:szCs w:val="20"/>
    </w:rPr>
  </w:style>
  <w:style w:type="paragraph" w:customStyle="1" w:styleId="QuickFormat1">
    <w:name w:val="QuickFormat1"/>
    <w:basedOn w:val="Normal"/>
    <w:rsid w:val="0014309C"/>
    <w:pPr>
      <w:autoSpaceDE/>
      <w:autoSpaceDN/>
      <w:adjustRightInd/>
    </w:pPr>
    <w:rPr>
      <w:rFonts w:ascii="Arial" w:hAnsi="Arial"/>
      <w:b/>
      <w:color w:val="000000"/>
      <w:sz w:val="28"/>
      <w:szCs w:val="20"/>
    </w:rPr>
  </w:style>
  <w:style w:type="character" w:styleId="CommentReference">
    <w:name w:val="annotation reference"/>
    <w:basedOn w:val="DefaultParagraphFont"/>
    <w:semiHidden/>
    <w:unhideWhenUsed/>
    <w:rsid w:val="00A06A98"/>
    <w:rPr>
      <w:sz w:val="16"/>
      <w:szCs w:val="16"/>
    </w:rPr>
  </w:style>
  <w:style w:type="paragraph" w:styleId="CommentText">
    <w:name w:val="annotation text"/>
    <w:basedOn w:val="Normal"/>
    <w:link w:val="CommentTextChar"/>
    <w:semiHidden/>
    <w:unhideWhenUsed/>
    <w:rsid w:val="00A06A98"/>
    <w:rPr>
      <w:szCs w:val="20"/>
    </w:rPr>
  </w:style>
  <w:style w:type="character" w:customStyle="1" w:styleId="CommentTextChar">
    <w:name w:val="Comment Text Char"/>
    <w:basedOn w:val="DefaultParagraphFont"/>
    <w:link w:val="CommentText"/>
    <w:semiHidden/>
    <w:rsid w:val="00A06A98"/>
    <w:rPr>
      <w:rFonts w:ascii="Courier" w:hAnsi="Courier"/>
    </w:rPr>
  </w:style>
  <w:style w:type="paragraph" w:styleId="CommentSubject">
    <w:name w:val="annotation subject"/>
    <w:basedOn w:val="CommentText"/>
    <w:next w:val="CommentText"/>
    <w:link w:val="CommentSubjectChar"/>
    <w:semiHidden/>
    <w:unhideWhenUsed/>
    <w:rsid w:val="00A06A98"/>
    <w:rPr>
      <w:b/>
      <w:bCs/>
    </w:rPr>
  </w:style>
  <w:style w:type="character" w:customStyle="1" w:styleId="CommentSubjectChar">
    <w:name w:val="Comment Subject Char"/>
    <w:basedOn w:val="CommentTextChar"/>
    <w:link w:val="CommentSubject"/>
    <w:semiHidden/>
    <w:rsid w:val="00A06A98"/>
    <w:rPr>
      <w:rFonts w:ascii="Courier" w:hAnsi="Courie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491766">
      <w:bodyDiv w:val="1"/>
      <w:marLeft w:val="0"/>
      <w:marRight w:val="0"/>
      <w:marTop w:val="0"/>
      <w:marBottom w:val="0"/>
      <w:divBdr>
        <w:top w:val="none" w:sz="0" w:space="0" w:color="auto"/>
        <w:left w:val="none" w:sz="0" w:space="0" w:color="auto"/>
        <w:bottom w:val="none" w:sz="0" w:space="0" w:color="auto"/>
        <w:right w:val="none" w:sz="0" w:space="0" w:color="auto"/>
      </w:divBdr>
    </w:div>
    <w:div w:id="145617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Benyard@cd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31BE4-63B7-49ED-8BAD-3FAEFD782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4163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DRAFT—October 13, 2005</vt:lpstr>
    </vt:vector>
  </TitlesOfParts>
  <Company>ITSO</Company>
  <LinksUpToDate>false</LinksUpToDate>
  <CharactersWithSpaces>4868</CharactersWithSpaces>
  <SharedDoc>false</SharedDoc>
  <HLinks>
    <vt:vector size="48" baseType="variant">
      <vt:variant>
        <vt:i4>131159</vt:i4>
      </vt:variant>
      <vt:variant>
        <vt:i4>21</vt:i4>
      </vt:variant>
      <vt:variant>
        <vt:i4>0</vt:i4>
      </vt:variant>
      <vt:variant>
        <vt:i4>5</vt:i4>
      </vt:variant>
      <vt:variant>
        <vt:lpwstr>http://www.cdc.gov/od/pgo/funding/grants/foamain.shtm</vt:lpwstr>
      </vt:variant>
      <vt:variant>
        <vt:lpwstr/>
      </vt:variant>
      <vt:variant>
        <vt:i4>131159</vt:i4>
      </vt:variant>
      <vt:variant>
        <vt:i4>18</vt:i4>
      </vt:variant>
      <vt:variant>
        <vt:i4>0</vt:i4>
      </vt:variant>
      <vt:variant>
        <vt:i4>5</vt:i4>
      </vt:variant>
      <vt:variant>
        <vt:lpwstr>http://www.cdc.gov/od/pgo/funding/grants/foamain.shtm</vt:lpwstr>
      </vt:variant>
      <vt:variant>
        <vt:lpwstr/>
      </vt:variant>
      <vt:variant>
        <vt:i4>7929960</vt:i4>
      </vt:variant>
      <vt:variant>
        <vt:i4>15</vt:i4>
      </vt:variant>
      <vt:variant>
        <vt:i4>0</vt:i4>
      </vt:variant>
      <vt:variant>
        <vt:i4>5</vt:i4>
      </vt:variant>
      <vt:variant>
        <vt:lpwstr>http://grants.nih.gov/grants/forms.htm</vt:lpwstr>
      </vt:variant>
      <vt:variant>
        <vt:lpwstr>closeout</vt:lpwstr>
      </vt:variant>
      <vt:variant>
        <vt:i4>3604526</vt:i4>
      </vt:variant>
      <vt:variant>
        <vt:i4>12</vt:i4>
      </vt:variant>
      <vt:variant>
        <vt:i4>0</vt:i4>
      </vt:variant>
      <vt:variant>
        <vt:i4>5</vt:i4>
      </vt:variant>
      <vt:variant>
        <vt:lpwstr>http://www.grants.gov/</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DRAFT—October 13, 2005</dc:title>
  <dc:creator>Melanie Cook</dc:creator>
  <cp:lastModifiedBy>Browning, Linton C. (CDC/OCOO/OFR/OGS)</cp:lastModifiedBy>
  <cp:revision>2</cp:revision>
  <cp:lastPrinted>2016-05-18T22:02:00Z</cp:lastPrinted>
  <dcterms:created xsi:type="dcterms:W3CDTF">2017-02-10T20:51:00Z</dcterms:created>
  <dcterms:modified xsi:type="dcterms:W3CDTF">2017-02-10T20:51:00Z</dcterms:modified>
</cp:coreProperties>
</file>