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pPr w:leftFromText="180" w:rightFromText="180" w:horzAnchor="margin" w:tblpY="753"/>
        <w:tblW w:w="0" w:type="auto"/>
        <w:tblLook w:val="04A0" w:firstRow="1" w:lastRow="0" w:firstColumn="1" w:lastColumn="0" w:noHBand="0" w:noVBand="1"/>
      </w:tblPr>
      <w:tblGrid>
        <w:gridCol w:w="352"/>
        <w:gridCol w:w="5673"/>
        <w:gridCol w:w="6826"/>
      </w:tblGrid>
      <w:tr w:rsidR="00BA6CF3" w:rsidRPr="00F635B3" w14:paraId="3BB05963" w14:textId="77777777" w:rsidTr="00F635B3">
        <w:trPr>
          <w:trHeight w:val="350"/>
        </w:trPr>
        <w:tc>
          <w:tcPr>
            <w:tcW w:w="352" w:type="dxa"/>
          </w:tcPr>
          <w:p w14:paraId="70E24AA9" w14:textId="07A3BCC4" w:rsidR="00BA6CF3" w:rsidRPr="00F635B3" w:rsidRDefault="00BA6CF3" w:rsidP="003A2051">
            <w:pPr>
              <w:rPr>
                <w:rFonts w:cstheme="minorHAnsi"/>
              </w:rPr>
            </w:pPr>
          </w:p>
        </w:tc>
        <w:tc>
          <w:tcPr>
            <w:tcW w:w="5673" w:type="dxa"/>
          </w:tcPr>
          <w:p w14:paraId="345724E4" w14:textId="6B5F663C" w:rsidR="00BA6CF3" w:rsidRPr="00F635B3" w:rsidRDefault="003A2051" w:rsidP="003A2051">
            <w:pPr>
              <w:pStyle w:val="NormalWeb"/>
              <w:shd w:val="clear" w:color="auto" w:fill="FFFFFF"/>
              <w:spacing w:before="0" w:beforeAutospacing="0" w:after="0" w:afterAutospacing="0"/>
              <w:jc w:val="center"/>
              <w:textAlignment w:val="baseline"/>
              <w:rPr>
                <w:rFonts w:asciiTheme="minorHAnsi" w:hAnsiTheme="minorHAnsi" w:cstheme="minorHAnsi"/>
                <w:b/>
                <w:bCs/>
                <w:sz w:val="22"/>
                <w:szCs w:val="22"/>
              </w:rPr>
            </w:pPr>
            <w:r w:rsidRPr="00F635B3">
              <w:rPr>
                <w:rFonts w:asciiTheme="minorHAnsi" w:hAnsiTheme="minorHAnsi" w:cstheme="minorHAnsi"/>
                <w:b/>
                <w:bCs/>
                <w:sz w:val="22"/>
                <w:szCs w:val="22"/>
              </w:rPr>
              <w:t>Question</w:t>
            </w:r>
          </w:p>
        </w:tc>
        <w:tc>
          <w:tcPr>
            <w:tcW w:w="6826" w:type="dxa"/>
          </w:tcPr>
          <w:p w14:paraId="0E2EFD19" w14:textId="45E20661" w:rsidR="00BA6CF3" w:rsidRPr="00F635B3" w:rsidRDefault="003A2051" w:rsidP="003A2051">
            <w:pPr>
              <w:jc w:val="center"/>
              <w:rPr>
                <w:rFonts w:cstheme="minorHAnsi"/>
                <w:b/>
                <w:bCs/>
              </w:rPr>
            </w:pPr>
            <w:r w:rsidRPr="00F635B3">
              <w:rPr>
                <w:rFonts w:cstheme="minorHAnsi"/>
                <w:b/>
                <w:bCs/>
              </w:rPr>
              <w:t>Answer</w:t>
            </w:r>
          </w:p>
        </w:tc>
      </w:tr>
      <w:tr w:rsidR="00BA6CF3" w:rsidRPr="00F635B3" w14:paraId="314D31BF" w14:textId="77777777" w:rsidTr="00F635B3">
        <w:trPr>
          <w:trHeight w:val="515"/>
        </w:trPr>
        <w:tc>
          <w:tcPr>
            <w:tcW w:w="352" w:type="dxa"/>
          </w:tcPr>
          <w:p w14:paraId="7761F25E" w14:textId="2F05ABFC" w:rsidR="00BA6CF3" w:rsidRPr="00F635B3" w:rsidRDefault="003A2051" w:rsidP="003A2051">
            <w:pPr>
              <w:rPr>
                <w:rFonts w:cstheme="minorHAnsi"/>
              </w:rPr>
            </w:pPr>
            <w:r w:rsidRPr="00F635B3">
              <w:rPr>
                <w:rFonts w:cstheme="minorHAnsi"/>
              </w:rPr>
              <w:t>1</w:t>
            </w:r>
          </w:p>
        </w:tc>
        <w:tc>
          <w:tcPr>
            <w:tcW w:w="5673" w:type="dxa"/>
          </w:tcPr>
          <w:p w14:paraId="09EDA90A" w14:textId="5E5AAF22" w:rsidR="003A2051" w:rsidRPr="00F635B3" w:rsidRDefault="003A2051" w:rsidP="003A2051">
            <w:pPr>
              <w:pStyle w:val="NormalWeb"/>
              <w:shd w:val="clear" w:color="auto" w:fill="FFFFFF"/>
              <w:spacing w:before="0" w:beforeAutospacing="0" w:after="0" w:afterAutospacing="0"/>
              <w:rPr>
                <w:rFonts w:asciiTheme="minorHAnsi" w:hAnsiTheme="minorHAnsi" w:cstheme="minorHAnsi"/>
                <w:color w:val="424242"/>
                <w:sz w:val="22"/>
                <w:szCs w:val="22"/>
              </w:rPr>
            </w:pPr>
            <w:r w:rsidRPr="00F635B3">
              <w:rPr>
                <w:rFonts w:asciiTheme="minorHAnsi" w:hAnsiTheme="minorHAnsi" w:cstheme="minorHAnsi"/>
                <w:color w:val="000000"/>
                <w:sz w:val="22"/>
                <w:szCs w:val="22"/>
                <w:bdr w:val="none" w:sz="0" w:space="0" w:color="auto" w:frame="1"/>
              </w:rPr>
              <w:t>On page 29, it states this requirement:</w:t>
            </w:r>
          </w:p>
          <w:p w14:paraId="2A508A05" w14:textId="77777777" w:rsidR="00F635B3" w:rsidRDefault="003A2051" w:rsidP="00F635B3">
            <w:pPr>
              <w:pStyle w:val="NormalWeb"/>
              <w:shd w:val="clear" w:color="auto" w:fill="FFFFFF"/>
              <w:spacing w:before="0" w:beforeAutospacing="0" w:after="0" w:afterAutospacing="0"/>
              <w:rPr>
                <w:rFonts w:asciiTheme="minorHAnsi" w:hAnsiTheme="minorHAnsi" w:cstheme="minorHAnsi"/>
                <w:i/>
                <w:iCs/>
                <w:color w:val="000000"/>
                <w:sz w:val="22"/>
                <w:szCs w:val="22"/>
                <w:bdr w:val="none" w:sz="0" w:space="0" w:color="auto" w:frame="1"/>
              </w:rPr>
            </w:pPr>
            <w:r w:rsidRPr="00F635B3">
              <w:rPr>
                <w:rFonts w:asciiTheme="minorHAnsi" w:hAnsiTheme="minorHAnsi" w:cstheme="minorHAnsi"/>
                <w:i/>
                <w:iCs/>
                <w:color w:val="000000"/>
                <w:sz w:val="22"/>
                <w:szCs w:val="22"/>
                <w:bdr w:val="none" w:sz="0" w:space="0" w:color="auto" w:frame="1"/>
              </w:rPr>
              <w:t>"Consultant Fees and Contracts - Common examples include lecture fees, honoraria, travel and per diem for outside speakers or independent evaluators, and subject-matter expert consultants.</w:t>
            </w:r>
          </w:p>
          <w:p w14:paraId="6C2166B7" w14:textId="77777777" w:rsidR="00F635B3" w:rsidRPr="00F635B3" w:rsidRDefault="003A2051" w:rsidP="00F635B3">
            <w:pPr>
              <w:pStyle w:val="NormalWeb"/>
              <w:numPr>
                <w:ilvl w:val="0"/>
                <w:numId w:val="1"/>
              </w:numPr>
              <w:shd w:val="clear" w:color="auto" w:fill="FFFFFF"/>
              <w:spacing w:before="0" w:beforeAutospacing="0" w:after="0" w:afterAutospacing="0"/>
              <w:rPr>
                <w:rFonts w:asciiTheme="minorHAnsi" w:hAnsiTheme="minorHAnsi" w:cstheme="minorHAnsi"/>
                <w:color w:val="424242"/>
                <w:sz w:val="22"/>
                <w:szCs w:val="22"/>
              </w:rPr>
            </w:pPr>
            <w:r w:rsidRPr="00F635B3">
              <w:rPr>
                <w:rFonts w:asciiTheme="minorHAnsi" w:hAnsiTheme="minorHAnsi" w:cstheme="minorHAnsi"/>
                <w:i/>
                <w:iCs/>
                <w:color w:val="000000"/>
                <w:sz w:val="22"/>
                <w:szCs w:val="22"/>
                <w:bdr w:val="none" w:sz="0" w:space="0" w:color="auto" w:frame="1"/>
              </w:rPr>
              <w:t>Describe the nature of the contract/consultancy and list number of people and rates</w:t>
            </w:r>
          </w:p>
          <w:p w14:paraId="1B7CD0B9" w14:textId="77777777" w:rsidR="00F635B3" w:rsidRPr="00F635B3" w:rsidRDefault="003A2051" w:rsidP="00F635B3">
            <w:pPr>
              <w:pStyle w:val="NormalWeb"/>
              <w:numPr>
                <w:ilvl w:val="0"/>
                <w:numId w:val="1"/>
              </w:numPr>
              <w:shd w:val="clear" w:color="auto" w:fill="FFFFFF"/>
              <w:spacing w:before="0" w:beforeAutospacing="0" w:after="0" w:afterAutospacing="0"/>
              <w:rPr>
                <w:rFonts w:asciiTheme="minorHAnsi" w:hAnsiTheme="minorHAnsi" w:cstheme="minorHAnsi"/>
                <w:color w:val="424242"/>
                <w:sz w:val="22"/>
                <w:szCs w:val="22"/>
              </w:rPr>
            </w:pPr>
            <w:r w:rsidRPr="00F635B3">
              <w:rPr>
                <w:rFonts w:asciiTheme="minorHAnsi" w:hAnsiTheme="minorHAnsi" w:cstheme="minorHAnsi"/>
                <w:i/>
                <w:iCs/>
                <w:color w:val="000000"/>
                <w:sz w:val="22"/>
                <w:szCs w:val="22"/>
                <w:bdr w:val="none" w:sz="0" w:space="0" w:color="auto" w:frame="1"/>
              </w:rPr>
              <w:t>Fees and rates should be consistent with the level of experience and based on a fair market value.</w:t>
            </w:r>
          </w:p>
          <w:p w14:paraId="0CC5D12A" w14:textId="506706CD" w:rsidR="003A2051" w:rsidRPr="00F635B3" w:rsidRDefault="003A2051" w:rsidP="00F635B3">
            <w:pPr>
              <w:pStyle w:val="NormalWeb"/>
              <w:numPr>
                <w:ilvl w:val="0"/>
                <w:numId w:val="1"/>
              </w:numPr>
              <w:shd w:val="clear" w:color="auto" w:fill="FFFFFF"/>
              <w:spacing w:before="0" w:beforeAutospacing="0" w:after="0" w:afterAutospacing="0"/>
              <w:rPr>
                <w:rFonts w:asciiTheme="minorHAnsi" w:hAnsiTheme="minorHAnsi" w:cstheme="minorHAnsi"/>
                <w:color w:val="424242"/>
                <w:sz w:val="22"/>
                <w:szCs w:val="22"/>
              </w:rPr>
            </w:pPr>
            <w:r w:rsidRPr="00F635B3">
              <w:rPr>
                <w:rFonts w:asciiTheme="minorHAnsi" w:hAnsiTheme="minorHAnsi" w:cstheme="minorHAnsi"/>
                <w:i/>
                <w:iCs/>
                <w:color w:val="000000"/>
                <w:sz w:val="22"/>
                <w:szCs w:val="22"/>
                <w:bdr w:val="none" w:sz="0" w:space="0" w:color="auto" w:frame="1"/>
              </w:rPr>
              <w:t>Fees and honorarium should not exceed $698/day per person, effective January 1, 2021."</w:t>
            </w:r>
          </w:p>
          <w:p w14:paraId="1BF5EE22" w14:textId="77777777" w:rsidR="003A2051" w:rsidRPr="00F635B3" w:rsidRDefault="003A2051" w:rsidP="003A2051">
            <w:pPr>
              <w:pStyle w:val="NormalWeb"/>
              <w:shd w:val="clear" w:color="auto" w:fill="FFFFFF"/>
              <w:spacing w:before="0" w:beforeAutospacing="0" w:after="0" w:afterAutospacing="0"/>
              <w:textAlignment w:val="baseline"/>
              <w:rPr>
                <w:rFonts w:asciiTheme="minorHAnsi" w:hAnsiTheme="minorHAnsi" w:cstheme="minorHAnsi"/>
                <w:color w:val="424242"/>
                <w:sz w:val="22"/>
                <w:szCs w:val="22"/>
              </w:rPr>
            </w:pPr>
          </w:p>
          <w:p w14:paraId="44BD58D5" w14:textId="77777777" w:rsidR="003A2051" w:rsidRPr="00F635B3" w:rsidRDefault="003A2051" w:rsidP="003A2051">
            <w:pPr>
              <w:pStyle w:val="NormalWeb"/>
              <w:shd w:val="clear" w:color="auto" w:fill="FFFFFF"/>
              <w:spacing w:before="0" w:beforeAutospacing="0" w:after="0" w:afterAutospacing="0"/>
              <w:textAlignment w:val="baseline"/>
              <w:rPr>
                <w:rFonts w:asciiTheme="minorHAnsi" w:hAnsiTheme="minorHAnsi" w:cstheme="minorHAnsi"/>
                <w:color w:val="424242"/>
                <w:sz w:val="22"/>
                <w:szCs w:val="22"/>
              </w:rPr>
            </w:pPr>
            <w:r w:rsidRPr="00F635B3">
              <w:rPr>
                <w:rFonts w:asciiTheme="minorHAnsi" w:hAnsiTheme="minorHAnsi" w:cstheme="minorHAnsi"/>
                <w:color w:val="000000"/>
                <w:sz w:val="22"/>
                <w:szCs w:val="22"/>
                <w:bdr w:val="none" w:sz="0" w:space="0" w:color="auto" w:frame="1"/>
              </w:rPr>
              <w:t>We are a consulting company and it would be our consultants who would be working on this grant were we to win it.  Fees for our consultants do not fit into a $698 daily limit.   I think this passage is referring to ancillary consulting fees like hiring a speaker, but it does reference "subject - matter experts."  Our consultants are all subject matter experts in their specific space disciplines.   They are not technically employees, and may work also for other companies.  </w:t>
            </w:r>
          </w:p>
          <w:p w14:paraId="039C0453" w14:textId="77777777" w:rsidR="00BA6CF3" w:rsidRPr="00F635B3" w:rsidRDefault="00BA6CF3" w:rsidP="003A2051">
            <w:pPr>
              <w:rPr>
                <w:rFonts w:cstheme="minorHAnsi"/>
              </w:rPr>
            </w:pPr>
          </w:p>
        </w:tc>
        <w:tc>
          <w:tcPr>
            <w:tcW w:w="6826" w:type="dxa"/>
          </w:tcPr>
          <w:p w14:paraId="1008E610" w14:textId="522DCC41" w:rsidR="00F635B3" w:rsidRPr="00F635B3" w:rsidRDefault="00F635B3" w:rsidP="00F635B3">
            <w:pPr>
              <w:shd w:val="clear" w:color="auto" w:fill="FFFFFF"/>
              <w:textAlignment w:val="baseline"/>
              <w:rPr>
                <w:rFonts w:eastAsia="Times New Roman" w:cstheme="minorHAnsi"/>
                <w:color w:val="000000"/>
                <w:kern w:val="0"/>
                <w14:ligatures w14:val="none"/>
              </w:rPr>
            </w:pPr>
            <w:r w:rsidRPr="00F635B3">
              <w:rPr>
                <w:rFonts w:eastAsia="Times New Roman" w:cstheme="minorHAnsi"/>
                <w:color w:val="000000"/>
                <w:kern w:val="0"/>
                <w14:ligatures w14:val="none"/>
              </w:rPr>
              <w:t>It sounds like the SMEs referenced would be considered key personnel on the grant as they would be performing core programmatic direction and technical value, and would therefore have to be employees of the non-profit.  Key personnel are designated by the recipient organization and are responsible for the design, management, or execution of a project.  For-profit companies are not eligible to be grant recipients; however, if your organization has 501(c)3 status, the SMEs could be included as key personnel as part of the 501(c)3.</w:t>
            </w:r>
          </w:p>
          <w:p w14:paraId="406EB24E" w14:textId="77777777" w:rsidR="00F635B3" w:rsidRPr="00F635B3" w:rsidRDefault="00F635B3" w:rsidP="00F635B3">
            <w:pPr>
              <w:shd w:val="clear" w:color="auto" w:fill="FFFFFF"/>
              <w:textAlignment w:val="baseline"/>
              <w:rPr>
                <w:rFonts w:eastAsia="Times New Roman" w:cstheme="minorHAnsi"/>
                <w:color w:val="000000"/>
                <w:kern w:val="0"/>
                <w14:ligatures w14:val="none"/>
              </w:rPr>
            </w:pPr>
          </w:p>
          <w:p w14:paraId="71BB208B" w14:textId="77777777" w:rsidR="00F635B3" w:rsidRPr="00F635B3" w:rsidRDefault="00F635B3" w:rsidP="00F635B3">
            <w:pPr>
              <w:shd w:val="clear" w:color="auto" w:fill="FFFFFF"/>
              <w:textAlignment w:val="baseline"/>
              <w:rPr>
                <w:rFonts w:eastAsia="Times New Roman" w:cstheme="minorHAnsi"/>
                <w:color w:val="000000"/>
                <w:kern w:val="0"/>
                <w14:ligatures w14:val="none"/>
              </w:rPr>
            </w:pPr>
            <w:r w:rsidRPr="00F635B3">
              <w:rPr>
                <w:rFonts w:eastAsia="Times New Roman" w:cstheme="minorHAnsi"/>
                <w:color w:val="000000"/>
                <w:kern w:val="0"/>
                <w14:ligatures w14:val="none"/>
              </w:rPr>
              <w:t>The consultant services could not be included in the Contractual section of the budget as this section cannot include consultancy contracts, per </w:t>
            </w:r>
            <w:hyperlink r:id="rId10" w:anchor="200.1" w:tgtFrame="_blank" w:history="1">
              <w:r w:rsidRPr="00F635B3">
                <w:rPr>
                  <w:rFonts w:eastAsia="Times New Roman" w:cstheme="minorHAnsi"/>
                  <w:color w:val="0000FF"/>
                  <w:kern w:val="0"/>
                  <w:u w:val="single"/>
                  <w:bdr w:val="none" w:sz="0" w:space="0" w:color="auto" w:frame="1"/>
                  <w14:ligatures w14:val="none"/>
                </w:rPr>
                <w:t>2 CFR 200.1 Contrac</w:t>
              </w:r>
            </w:hyperlink>
            <w:r w:rsidRPr="00F635B3">
              <w:rPr>
                <w:rFonts w:eastAsia="Times New Roman" w:cstheme="minorHAnsi"/>
                <w:color w:val="586CED"/>
                <w:kern w:val="0"/>
                <w:u w:val="single"/>
                <w:bdr w:val="none" w:sz="0" w:space="0" w:color="auto" w:frame="1"/>
                <w14:ligatures w14:val="none"/>
              </w:rPr>
              <w:t>t</w:t>
            </w:r>
            <w:r w:rsidRPr="00F635B3">
              <w:rPr>
                <w:rFonts w:eastAsia="Times New Roman" w:cstheme="minorHAnsi"/>
                <w:color w:val="586CED"/>
                <w:kern w:val="0"/>
                <w:bdr w:val="none" w:sz="0" w:space="0" w:color="auto" w:frame="1"/>
                <w14:ligatures w14:val="none"/>
              </w:rPr>
              <w:t>. </w:t>
            </w:r>
            <w:r w:rsidRPr="00F635B3">
              <w:rPr>
                <w:rFonts w:eastAsia="Times New Roman" w:cstheme="minorHAnsi"/>
                <w:color w:val="000000"/>
                <w:kern w:val="0"/>
                <w14:ligatures w14:val="none"/>
              </w:rPr>
              <w:t> However, if the SMEs are working as consultants on discrete activities (such as a lecture, speaking engagement, etc.), as described on pg. 29, </w:t>
            </w:r>
            <w:r w:rsidRPr="00F635B3">
              <w:rPr>
                <w:rFonts w:eastAsia="Times New Roman" w:cstheme="minorHAnsi"/>
                <w:color w:val="000000"/>
                <w:kern w:val="0"/>
                <w:u w:val="single"/>
                <w14:ligatures w14:val="none"/>
              </w:rPr>
              <w:t>Category F. Contractual</w:t>
            </w:r>
            <w:r w:rsidRPr="00F635B3">
              <w:rPr>
                <w:rFonts w:eastAsia="Times New Roman" w:cstheme="minorHAnsi"/>
                <w:color w:val="000000"/>
                <w:kern w:val="0"/>
                <w14:ligatures w14:val="none"/>
              </w:rPr>
              <w:t> of the NOFO, their fees/honoraria could be included there, not to exceed $784.62/day per person (this was increased from $698/day effective January 2024; we will have to correct this in the NOFO).  These consultant fees/honoraria could be captured in the budget and budget narrative as its own line item, separate from the key personnel and contractual sections.</w:t>
            </w:r>
          </w:p>
          <w:p w14:paraId="135EA784" w14:textId="77777777" w:rsidR="00BA6CF3" w:rsidRPr="00F635B3" w:rsidRDefault="00BA6CF3" w:rsidP="003A2051">
            <w:pPr>
              <w:rPr>
                <w:rFonts w:cstheme="minorHAnsi"/>
              </w:rPr>
            </w:pPr>
          </w:p>
        </w:tc>
      </w:tr>
    </w:tbl>
    <w:p w14:paraId="6D687776" w14:textId="77777777" w:rsidR="00BB32D9" w:rsidRPr="00F635B3" w:rsidRDefault="00BB32D9">
      <w:pPr>
        <w:rPr>
          <w:rFonts w:cstheme="minorHAnsi"/>
        </w:rPr>
      </w:pPr>
    </w:p>
    <w:sectPr w:rsidR="00BB32D9" w:rsidRPr="00F635B3" w:rsidSect="00BA6CF3">
      <w:head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131B57" w14:textId="77777777" w:rsidR="00DE1EA9" w:rsidRDefault="00DE1EA9" w:rsidP="003A2051">
      <w:pPr>
        <w:spacing w:after="0" w:line="240" w:lineRule="auto"/>
      </w:pPr>
      <w:r>
        <w:separator/>
      </w:r>
    </w:p>
  </w:endnote>
  <w:endnote w:type="continuationSeparator" w:id="0">
    <w:p w14:paraId="6CA17D7C" w14:textId="77777777" w:rsidR="00DE1EA9" w:rsidRDefault="00DE1EA9" w:rsidP="003A2051">
      <w:pPr>
        <w:spacing w:after="0" w:line="240" w:lineRule="auto"/>
      </w:pPr>
      <w:r>
        <w:continuationSeparator/>
      </w:r>
    </w:p>
  </w:endnote>
  <w:endnote w:type="continuationNotice" w:id="1">
    <w:p w14:paraId="67BCC8BA" w14:textId="77777777" w:rsidR="00DE1EA9" w:rsidRDefault="00DE1E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257B81" w14:textId="77777777" w:rsidR="00DE1EA9" w:rsidRDefault="00DE1EA9" w:rsidP="003A2051">
      <w:pPr>
        <w:spacing w:after="0" w:line="240" w:lineRule="auto"/>
      </w:pPr>
      <w:r>
        <w:separator/>
      </w:r>
    </w:p>
  </w:footnote>
  <w:footnote w:type="continuationSeparator" w:id="0">
    <w:p w14:paraId="3F58D800" w14:textId="77777777" w:rsidR="00DE1EA9" w:rsidRDefault="00DE1EA9" w:rsidP="003A2051">
      <w:pPr>
        <w:spacing w:after="0" w:line="240" w:lineRule="auto"/>
      </w:pPr>
      <w:r>
        <w:continuationSeparator/>
      </w:r>
    </w:p>
  </w:footnote>
  <w:footnote w:type="continuationNotice" w:id="1">
    <w:p w14:paraId="516D2C1E" w14:textId="77777777" w:rsidR="00DE1EA9" w:rsidRDefault="00DE1EA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9F7AC1" w14:textId="3EC4F05B" w:rsidR="003A2051" w:rsidRPr="003A2051" w:rsidRDefault="003A2051" w:rsidP="003A2051">
    <w:pPr>
      <w:pStyle w:val="Header"/>
      <w:jc w:val="center"/>
      <w:rPr>
        <w:b/>
        <w:bCs/>
      </w:rPr>
    </w:pPr>
    <w:r w:rsidRPr="003A2051">
      <w:rPr>
        <w:b/>
        <w:bCs/>
      </w:rPr>
      <w:t>Q&amp;As for GDRP Morocco NOFO – Space Strategy and Policy</w:t>
    </w:r>
  </w:p>
  <w:p w14:paraId="1ADEBF95" w14:textId="78A0C34C" w:rsidR="003A2051" w:rsidRPr="003A2051" w:rsidRDefault="003A2051" w:rsidP="003A2051">
    <w:pPr>
      <w:pStyle w:val="Header"/>
      <w:jc w:val="center"/>
      <w:rPr>
        <w:b/>
        <w:bCs/>
      </w:rPr>
    </w:pPr>
    <w:r w:rsidRPr="003A2051">
      <w:rPr>
        <w:b/>
        <w:bCs/>
      </w:rPr>
      <w:t>DFOP0016599</w:t>
    </w:r>
  </w:p>
  <w:p w14:paraId="37C0031E" w14:textId="739BBF2E" w:rsidR="003A2051" w:rsidRDefault="003A2051" w:rsidP="003A2051">
    <w:pPr>
      <w:pStyle w:val="Header"/>
      <w:jc w:val="center"/>
    </w:pPr>
    <w:r>
      <w:t xml:space="preserve">Deadline for Submitting Questions – </w:t>
    </w:r>
    <w:r w:rsidRPr="00F635B3">
      <w:t>June 14</w:t>
    </w:r>
    <w:r w:rsidR="00F635B3" w:rsidRPr="00F635B3">
      <w:t xml:space="preserve"> at </w:t>
    </w:r>
    <w:r w:rsidR="00F635B3" w:rsidRPr="00F635B3">
      <w:rPr>
        <w:rFonts w:eastAsia="Times New Roman" w:cstheme="minorHAnsi"/>
        <w:color w:val="000000" w:themeColor="text1"/>
      </w:rPr>
      <w:t xml:space="preserve">11:59 PM EST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F05368"/>
    <w:multiLevelType w:val="hybridMultilevel"/>
    <w:tmpl w:val="053C4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23804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CF3"/>
    <w:rsid w:val="003A2051"/>
    <w:rsid w:val="004A7996"/>
    <w:rsid w:val="00674D27"/>
    <w:rsid w:val="0081656F"/>
    <w:rsid w:val="00986130"/>
    <w:rsid w:val="00BA6CF3"/>
    <w:rsid w:val="00BB32D9"/>
    <w:rsid w:val="00DE1EA9"/>
    <w:rsid w:val="00F635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CDE49"/>
  <w15:chartTrackingRefBased/>
  <w15:docId w15:val="{5D21622F-16CC-47A8-8738-133D1B6BE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6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A20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2051"/>
  </w:style>
  <w:style w:type="paragraph" w:styleId="Footer">
    <w:name w:val="footer"/>
    <w:basedOn w:val="Normal"/>
    <w:link w:val="FooterChar"/>
    <w:uiPriority w:val="99"/>
    <w:unhideWhenUsed/>
    <w:rsid w:val="003A20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2051"/>
  </w:style>
  <w:style w:type="paragraph" w:styleId="NormalWeb">
    <w:name w:val="Normal (Web)"/>
    <w:basedOn w:val="Normal"/>
    <w:uiPriority w:val="99"/>
    <w:semiHidden/>
    <w:unhideWhenUsed/>
    <w:rsid w:val="003A205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F635B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1527653">
      <w:bodyDiv w:val="1"/>
      <w:marLeft w:val="0"/>
      <w:marRight w:val="0"/>
      <w:marTop w:val="0"/>
      <w:marBottom w:val="0"/>
      <w:divBdr>
        <w:top w:val="none" w:sz="0" w:space="0" w:color="auto"/>
        <w:left w:val="none" w:sz="0" w:space="0" w:color="auto"/>
        <w:bottom w:val="none" w:sz="0" w:space="0" w:color="auto"/>
        <w:right w:val="none" w:sz="0" w:space="0" w:color="auto"/>
      </w:divBdr>
      <w:divsChild>
        <w:div w:id="1500385067">
          <w:marLeft w:val="0"/>
          <w:marRight w:val="0"/>
          <w:marTop w:val="240"/>
          <w:marBottom w:val="240"/>
          <w:divBdr>
            <w:top w:val="none" w:sz="0" w:space="0" w:color="auto"/>
            <w:left w:val="none" w:sz="0" w:space="0" w:color="auto"/>
            <w:bottom w:val="none" w:sz="0" w:space="0" w:color="auto"/>
            <w:right w:val="none" w:sz="0" w:space="0" w:color="auto"/>
          </w:divBdr>
        </w:div>
        <w:div w:id="1894656020">
          <w:marLeft w:val="0"/>
          <w:marRight w:val="0"/>
          <w:marTop w:val="240"/>
          <w:marBottom w:val="240"/>
          <w:divBdr>
            <w:top w:val="none" w:sz="0" w:space="0" w:color="auto"/>
            <w:left w:val="none" w:sz="0" w:space="0" w:color="auto"/>
            <w:bottom w:val="none" w:sz="0" w:space="0" w:color="auto"/>
            <w:right w:val="none" w:sz="0" w:space="0" w:color="auto"/>
          </w:divBdr>
        </w:div>
      </w:divsChild>
    </w:div>
    <w:div w:id="1709834651">
      <w:bodyDiv w:val="1"/>
      <w:marLeft w:val="0"/>
      <w:marRight w:val="0"/>
      <w:marTop w:val="0"/>
      <w:marBottom w:val="0"/>
      <w:divBdr>
        <w:top w:val="none" w:sz="0" w:space="0" w:color="auto"/>
        <w:left w:val="none" w:sz="0" w:space="0" w:color="auto"/>
        <w:bottom w:val="none" w:sz="0" w:space="0" w:color="auto"/>
        <w:right w:val="none" w:sz="0" w:space="0" w:color="auto"/>
      </w:divBdr>
    </w:div>
    <w:div w:id="1984582581">
      <w:bodyDiv w:val="1"/>
      <w:marLeft w:val="0"/>
      <w:marRight w:val="0"/>
      <w:marTop w:val="0"/>
      <w:marBottom w:val="0"/>
      <w:divBdr>
        <w:top w:val="none" w:sz="0" w:space="0" w:color="auto"/>
        <w:left w:val="none" w:sz="0" w:space="0" w:color="auto"/>
        <w:bottom w:val="none" w:sz="0" w:space="0" w:color="auto"/>
        <w:right w:val="none" w:sz="0" w:space="0" w:color="auto"/>
      </w:divBdr>
      <w:divsChild>
        <w:div w:id="1379552136">
          <w:marLeft w:val="600"/>
          <w:marRight w:val="0"/>
          <w:marTop w:val="240"/>
          <w:marBottom w:val="240"/>
          <w:divBdr>
            <w:top w:val="none" w:sz="0" w:space="0" w:color="auto"/>
            <w:left w:val="none" w:sz="0" w:space="0" w:color="auto"/>
            <w:bottom w:val="none" w:sz="0" w:space="0" w:color="auto"/>
            <w:right w:val="none" w:sz="0" w:space="0" w:color="auto"/>
          </w:divBdr>
        </w:div>
        <w:div w:id="873733238">
          <w:marLeft w:val="600"/>
          <w:marRight w:val="0"/>
          <w:marTop w:val="240"/>
          <w:marBottom w:val="240"/>
          <w:divBdr>
            <w:top w:val="none" w:sz="0" w:space="0" w:color="auto"/>
            <w:left w:val="none" w:sz="0" w:space="0" w:color="auto"/>
            <w:bottom w:val="none" w:sz="0" w:space="0" w:color="auto"/>
            <w:right w:val="none" w:sz="0" w:space="0" w:color="auto"/>
          </w:divBdr>
        </w:div>
        <w:div w:id="2082369757">
          <w:marLeft w:val="60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ecfr.gov/current/title-2/subtitle-A/chapter-II/part-200"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bce3b6-43b5-40ea-b773-b3c1ac0c9c03" xsi:nil="true"/>
    <lcf76f155ced4ddcb4097134ff3c332f xmlns="11e18624-496c-4c1c-9630-1e3b0a01b0c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BC2BB6135C2354B83BA7AA1C546435F" ma:contentTypeVersion="13" ma:contentTypeDescription="Create a new document." ma:contentTypeScope="" ma:versionID="9af197b79e7f2c0d460200209be2abf5">
  <xsd:schema xmlns:xsd="http://www.w3.org/2001/XMLSchema" xmlns:xs="http://www.w3.org/2001/XMLSchema" xmlns:p="http://schemas.microsoft.com/office/2006/metadata/properties" xmlns:ns2="11e18624-496c-4c1c-9630-1e3b0a01b0c7" xmlns:ns3="87bce3b6-43b5-40ea-b773-b3c1ac0c9c03" targetNamespace="http://schemas.microsoft.com/office/2006/metadata/properties" ma:root="true" ma:fieldsID="a751054ee4ffdc2f7a2fe33e73328055" ns2:_="" ns3:_="">
    <xsd:import namespace="11e18624-496c-4c1c-9630-1e3b0a01b0c7"/>
    <xsd:import namespace="87bce3b6-43b5-40ea-b773-b3c1ac0c9c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18624-496c-4c1c-9630-1e3b0a01b0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e3b6-43b5-40ea-b773-b3c1ac0c9c0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0e0b0d0-4d7a-431a-8e03-a1b9f4fa6005}" ma:internalName="TaxCatchAll" ma:showField="CatchAllData" ma:web="87bce3b6-43b5-40ea-b773-b3c1ac0c9c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B57E28-F433-4C46-B3D9-1569646D7ABB}">
  <ds:schemaRefs>
    <ds:schemaRef ds:uri="http://schemas.microsoft.com/sharepoint/v3/contenttype/forms"/>
  </ds:schemaRefs>
</ds:datastoreItem>
</file>

<file path=customXml/itemProps2.xml><?xml version="1.0" encoding="utf-8"?>
<ds:datastoreItem xmlns:ds="http://schemas.openxmlformats.org/officeDocument/2006/customXml" ds:itemID="{49E6FD51-77FA-4178-8A39-6363875A47D2}">
  <ds:schemaRefs>
    <ds:schemaRef ds:uri="http://schemas.microsoft.com/office/2006/metadata/properties"/>
    <ds:schemaRef ds:uri="http://schemas.microsoft.com/office/infopath/2007/PartnerControls"/>
    <ds:schemaRef ds:uri="87bce3b6-43b5-40ea-b773-b3c1ac0c9c03"/>
    <ds:schemaRef ds:uri="11e18624-496c-4c1c-9630-1e3b0a01b0c7"/>
  </ds:schemaRefs>
</ds:datastoreItem>
</file>

<file path=customXml/itemProps3.xml><?xml version="1.0" encoding="utf-8"?>
<ds:datastoreItem xmlns:ds="http://schemas.openxmlformats.org/officeDocument/2006/customXml" ds:itemID="{F2F0154F-2910-4EE8-95FF-17468483CC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18624-496c-4c1c-9630-1e3b0a01b0c7"/>
    <ds:schemaRef ds:uri="87bce3b6-43b5-40ea-b773-b3c1ac0c9c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349</Words>
  <Characters>1993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LaRosa, Alexandra</dc:creator>
  <cp:keywords/>
  <dc:description/>
  <cp:lastModifiedBy>LaRosa, Alexandra</cp:lastModifiedBy>
  <cp:revision>3</cp:revision>
  <dcterms:created xsi:type="dcterms:W3CDTF">2024-05-30T20:22:00Z</dcterms:created>
  <dcterms:modified xsi:type="dcterms:W3CDTF">2024-07-18T13:43:00Z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2024-05-30T20:47:14Z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183de43d-641e-4417-90cc-5d1b759fd597</vt:lpwstr>
  </property>
  <property fmtid="{D5CDD505-2E9C-101B-9397-08002B2CF9AE}" pid="8" name="MSIP_Label_1665d9ee-429a-4d5f-97cc-cfb56e044a6e_ContentBits">
    <vt:lpwstr>0</vt:lpwstr>
  </property>
  <property fmtid="{D5CDD505-2E9C-101B-9397-08002B2CF9AE}" pid="9" name="ContentTypeId">
    <vt:lpwstr>0x0101003BC2BB6135C2354B83BA7AA1C546435F</vt:lpwstr>
  </property>
</Properties>
</file>