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F74B91" w14:textId="6ADB5DD9" w:rsidR="00681C49" w:rsidRPr="00681C49" w:rsidRDefault="00681C49" w:rsidP="00681C49">
      <w:pPr>
        <w:spacing w:line="240" w:lineRule="auto"/>
        <w:rPr>
          <w:rFonts w:ascii="Avenir Next LT Pro" w:eastAsia="Avenir Next LT Pro" w:hAnsi="Avenir Next LT Pro" w:cs="Avenir Next LT Pro"/>
          <w:b/>
          <w:bCs/>
        </w:rPr>
      </w:pPr>
      <w:r w:rsidRPr="00681C49">
        <w:rPr>
          <w:rFonts w:ascii="Avenir Next LT Pro" w:eastAsia="Avenir Next LT Pro" w:hAnsi="Avenir Next LT Pro" w:cs="Avenir Next LT Pro"/>
          <w:b/>
          <w:bCs/>
        </w:rPr>
        <w:t>TA1 Target Product Profile (TPP)</w:t>
      </w:r>
      <w:r w:rsidR="00195C14">
        <w:rPr>
          <w:rFonts w:ascii="Avenir Next LT Pro" w:eastAsia="Avenir Next LT Pro" w:hAnsi="Avenir Next LT Pro" w:cs="Avenir Next LT Pro"/>
          <w:b/>
          <w:bCs/>
        </w:rPr>
        <w:t>: Template</w:t>
      </w:r>
    </w:p>
    <w:p w14:paraId="547F6951" w14:textId="5ACA2A15" w:rsidR="00FE25D6" w:rsidRPr="00CD460A" w:rsidRDefault="00B62654" w:rsidP="00CD460A">
      <w:pPr>
        <w:pStyle w:val="NormalWeb"/>
        <w:rPr>
          <w:rFonts w:ascii="Avenir Next LT Pro" w:eastAsia="+mn-ea" w:hAnsi="Avenir Next LT Pro" w:cs="+mn-cs"/>
          <w:kern w:val="24"/>
          <w:sz w:val="20"/>
          <w:szCs w:val="20"/>
        </w:rPr>
      </w:pPr>
      <w:r w:rsidRPr="00B62654">
        <w:rPr>
          <w:rFonts w:ascii="Avenir Next LT Pro" w:eastAsia="+mn-ea" w:hAnsi="Avenir Next LT Pro" w:cs="+mn-cs"/>
          <w:kern w:val="24"/>
          <w:sz w:val="18"/>
          <w:szCs w:val="18"/>
        </w:rPr>
        <w:t>Performers must submit a TPP for each disease indication with their submission detailing the technologies capabilities. The template below outlines GLIDE’s minimum expectations but should be expanded and tailored to fit the specific disease indications selected.</w:t>
      </w:r>
    </w:p>
    <w:tbl>
      <w:tblPr>
        <w:tblW w:w="5000" w:type="pct"/>
        <w:tblLayout w:type="fixed"/>
        <w:tblCellMar>
          <w:left w:w="0" w:type="dxa"/>
          <w:right w:w="0" w:type="dxa"/>
        </w:tblCellMar>
        <w:tblLook w:val="0420" w:firstRow="1" w:lastRow="0" w:firstColumn="0" w:lastColumn="0" w:noHBand="0" w:noVBand="1"/>
      </w:tblPr>
      <w:tblGrid>
        <w:gridCol w:w="981"/>
        <w:gridCol w:w="1596"/>
        <w:gridCol w:w="3384"/>
        <w:gridCol w:w="3383"/>
      </w:tblGrid>
      <w:tr w:rsidR="00FE25D6" w:rsidRPr="00FE25D6" w14:paraId="143333D7" w14:textId="77777777" w:rsidTr="00B11908">
        <w:tc>
          <w:tcPr>
            <w:tcW w:w="1379" w:type="pct"/>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36F835BF"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Product description/Therapeutic Modality</w:t>
            </w:r>
          </w:p>
        </w:tc>
        <w:tc>
          <w:tcPr>
            <w:tcW w:w="3621" w:type="pct"/>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6B32BABF" w14:textId="77777777" w:rsidR="00FE25D6" w:rsidRPr="00FE25D6" w:rsidRDefault="00FE25D6" w:rsidP="00FE25D6">
            <w:pPr>
              <w:pStyle w:val="NormalWeb"/>
              <w:rPr>
                <w:rFonts w:ascii="Avenir Next LT Pro" w:hAnsi="Avenir Next LT Pro"/>
                <w:sz w:val="16"/>
                <w:szCs w:val="16"/>
              </w:rPr>
            </w:pPr>
          </w:p>
        </w:tc>
      </w:tr>
      <w:tr w:rsidR="00FE25D6" w:rsidRPr="00FE25D6" w14:paraId="27991940" w14:textId="77777777" w:rsidTr="00B11908">
        <w:tc>
          <w:tcPr>
            <w:tcW w:w="1379" w:type="pct"/>
            <w:gridSpan w:val="2"/>
            <w:tcBorders>
              <w:top w:val="single" w:sz="6" w:space="0" w:color="7F7F7F"/>
              <w:left w:val="single" w:sz="6" w:space="0" w:color="7F7F7F"/>
              <w:bottom w:val="single" w:sz="6" w:space="0" w:color="7F7F7F"/>
              <w:right w:val="single" w:sz="6" w:space="0" w:color="7F7F7F"/>
            </w:tcBorders>
            <w:shd w:val="clear" w:color="auto" w:fill="D2CDF3"/>
            <w:tcMar>
              <w:top w:w="29" w:type="dxa"/>
              <w:left w:w="58" w:type="dxa"/>
              <w:bottom w:w="29" w:type="dxa"/>
              <w:right w:w="29" w:type="dxa"/>
            </w:tcMar>
            <w:hideMark/>
          </w:tcPr>
          <w:p w14:paraId="0B587BBA"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b/>
                <w:bCs/>
                <w:sz w:val="16"/>
                <w:szCs w:val="16"/>
              </w:rPr>
              <w:t>Product Target</w:t>
            </w:r>
          </w:p>
        </w:tc>
        <w:tc>
          <w:tcPr>
            <w:tcW w:w="1811" w:type="pct"/>
            <w:tcBorders>
              <w:top w:val="single" w:sz="6" w:space="0" w:color="7F7F7F"/>
              <w:left w:val="single" w:sz="6" w:space="0" w:color="7F7F7F"/>
              <w:bottom w:val="single" w:sz="6" w:space="0" w:color="7F7F7F"/>
              <w:right w:val="single" w:sz="6" w:space="0" w:color="7F7F7F"/>
            </w:tcBorders>
            <w:shd w:val="clear" w:color="auto" w:fill="D2CDF3"/>
            <w:tcMar>
              <w:top w:w="29" w:type="dxa"/>
              <w:left w:w="58" w:type="dxa"/>
              <w:bottom w:w="29" w:type="dxa"/>
              <w:right w:w="29" w:type="dxa"/>
            </w:tcMar>
            <w:hideMark/>
          </w:tcPr>
          <w:p w14:paraId="5C8F4006"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b/>
                <w:bCs/>
                <w:sz w:val="16"/>
                <w:szCs w:val="16"/>
              </w:rPr>
              <w:t>Minimal Acceptable Results</w:t>
            </w:r>
          </w:p>
        </w:tc>
        <w:tc>
          <w:tcPr>
            <w:tcW w:w="1810" w:type="pct"/>
            <w:tcBorders>
              <w:top w:val="single" w:sz="6" w:space="0" w:color="7F7F7F"/>
              <w:left w:val="single" w:sz="6" w:space="0" w:color="7F7F7F"/>
              <w:bottom w:val="single" w:sz="6" w:space="0" w:color="7F7F7F"/>
              <w:right w:val="single" w:sz="6" w:space="0" w:color="7F7F7F"/>
            </w:tcBorders>
            <w:shd w:val="clear" w:color="auto" w:fill="D2CDF3"/>
            <w:tcMar>
              <w:top w:w="29" w:type="dxa"/>
              <w:left w:w="58" w:type="dxa"/>
              <w:bottom w:w="29" w:type="dxa"/>
              <w:right w:w="29" w:type="dxa"/>
            </w:tcMar>
            <w:hideMark/>
          </w:tcPr>
          <w:p w14:paraId="7E97FB85"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b/>
                <w:bCs/>
                <w:sz w:val="16"/>
                <w:szCs w:val="16"/>
              </w:rPr>
              <w:t>Optimal Results</w:t>
            </w:r>
          </w:p>
        </w:tc>
      </w:tr>
      <w:tr w:rsidR="00FE25D6" w:rsidRPr="00FE25D6" w14:paraId="071E97A8" w14:textId="77777777" w:rsidTr="00B11908">
        <w:tc>
          <w:tcPr>
            <w:tcW w:w="1379" w:type="pct"/>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376A7083"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Primary Product Indication</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096B1747"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6C68AF6B" w14:textId="77777777" w:rsidR="00FE25D6" w:rsidRPr="00FE25D6" w:rsidRDefault="00FE25D6" w:rsidP="00FE25D6">
            <w:pPr>
              <w:pStyle w:val="NormalWeb"/>
              <w:rPr>
                <w:rFonts w:ascii="Avenir Next LT Pro" w:hAnsi="Avenir Next LT Pro"/>
                <w:sz w:val="16"/>
                <w:szCs w:val="16"/>
              </w:rPr>
            </w:pPr>
          </w:p>
        </w:tc>
      </w:tr>
      <w:tr w:rsidR="00FE25D6" w:rsidRPr="00FE25D6" w14:paraId="0DEBBC84" w14:textId="77777777" w:rsidTr="00B11908">
        <w:tc>
          <w:tcPr>
            <w:tcW w:w="1379" w:type="pct"/>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3BACBE34"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Patient Population</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6D09B73E"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28C7A402" w14:textId="77777777" w:rsidR="00FE25D6" w:rsidRPr="00FE25D6" w:rsidRDefault="00FE25D6" w:rsidP="00FE25D6">
            <w:pPr>
              <w:pStyle w:val="NormalWeb"/>
              <w:rPr>
                <w:rFonts w:ascii="Avenir Next LT Pro" w:hAnsi="Avenir Next LT Pro"/>
                <w:sz w:val="16"/>
                <w:szCs w:val="16"/>
              </w:rPr>
            </w:pPr>
          </w:p>
        </w:tc>
      </w:tr>
      <w:tr w:rsidR="00FE25D6" w:rsidRPr="00FE25D6" w14:paraId="34CDD5AC" w14:textId="77777777" w:rsidTr="00B11908">
        <w:tc>
          <w:tcPr>
            <w:tcW w:w="1379" w:type="pct"/>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27ABDAFD"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Procedure Frequency</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06FCD6E2"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2CCC4DB5" w14:textId="77777777" w:rsidR="00FE25D6" w:rsidRPr="00FE25D6" w:rsidRDefault="00FE25D6" w:rsidP="00FE25D6">
            <w:pPr>
              <w:pStyle w:val="NormalWeb"/>
              <w:rPr>
                <w:rFonts w:ascii="Avenir Next LT Pro" w:hAnsi="Avenir Next LT Pro"/>
                <w:sz w:val="16"/>
                <w:szCs w:val="16"/>
              </w:rPr>
            </w:pPr>
          </w:p>
        </w:tc>
      </w:tr>
      <w:tr w:rsidR="00FE25D6" w:rsidRPr="00FE25D6" w14:paraId="798DC85B" w14:textId="77777777" w:rsidTr="00B11908">
        <w:tc>
          <w:tcPr>
            <w:tcW w:w="1379" w:type="pct"/>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578AF4CF"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Delivery Mode</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08DE946D"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5DF0CA4D" w14:textId="77777777" w:rsidR="00FE25D6" w:rsidRPr="00FE25D6" w:rsidRDefault="00FE25D6" w:rsidP="00FE25D6">
            <w:pPr>
              <w:pStyle w:val="NormalWeb"/>
              <w:rPr>
                <w:rFonts w:ascii="Avenir Next LT Pro" w:hAnsi="Avenir Next LT Pro"/>
                <w:sz w:val="16"/>
                <w:szCs w:val="16"/>
              </w:rPr>
            </w:pPr>
          </w:p>
        </w:tc>
      </w:tr>
      <w:tr w:rsidR="00FE25D6" w:rsidRPr="00FE25D6" w14:paraId="6B06180E" w14:textId="77777777" w:rsidTr="00B11908">
        <w:tc>
          <w:tcPr>
            <w:tcW w:w="1379" w:type="pct"/>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4F4C49D6"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 xml:space="preserve">Quality of Life </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3CB97D78"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330F3F8F" w14:textId="77777777" w:rsidR="00FE25D6" w:rsidRPr="00FE25D6" w:rsidRDefault="00FE25D6" w:rsidP="00FE25D6">
            <w:pPr>
              <w:pStyle w:val="NormalWeb"/>
              <w:rPr>
                <w:rFonts w:ascii="Avenir Next LT Pro" w:hAnsi="Avenir Next LT Pro"/>
                <w:sz w:val="16"/>
                <w:szCs w:val="16"/>
              </w:rPr>
            </w:pPr>
          </w:p>
        </w:tc>
      </w:tr>
      <w:tr w:rsidR="00FE25D6" w:rsidRPr="00FE25D6" w14:paraId="30C2315D" w14:textId="77777777" w:rsidTr="00B11908">
        <w:tc>
          <w:tcPr>
            <w:tcW w:w="1379" w:type="pct"/>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63D5B962"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Adverse Event Rate</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1935DED0"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42B18EDB" w14:textId="77777777" w:rsidR="00FE25D6" w:rsidRPr="00FE25D6" w:rsidRDefault="00FE25D6" w:rsidP="00FE25D6">
            <w:pPr>
              <w:pStyle w:val="NormalWeb"/>
              <w:rPr>
                <w:rFonts w:ascii="Avenir Next LT Pro" w:hAnsi="Avenir Next LT Pro"/>
                <w:sz w:val="16"/>
                <w:szCs w:val="16"/>
              </w:rPr>
            </w:pPr>
          </w:p>
        </w:tc>
      </w:tr>
      <w:tr w:rsidR="00FE25D6" w:rsidRPr="00FE25D6" w14:paraId="7D117A87" w14:textId="77777777" w:rsidTr="00B11908">
        <w:tc>
          <w:tcPr>
            <w:tcW w:w="525" w:type="pct"/>
            <w:vMerge w:val="restar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textDirection w:val="btLr"/>
            <w:hideMark/>
          </w:tcPr>
          <w:p w14:paraId="24EC9367"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Lymphatic Functional Efficacy Targets</w:t>
            </w:r>
            <w:r w:rsidRPr="00FE25D6">
              <w:rPr>
                <w:rFonts w:ascii="Avenir Next LT Pro" w:hAnsi="Avenir Next LT Pro"/>
                <w:sz w:val="16"/>
                <w:szCs w:val="16"/>
                <w:vertAlign w:val="superscript"/>
              </w:rPr>
              <w:t>1</w:t>
            </w:r>
            <w:r w:rsidRPr="00FE25D6">
              <w:rPr>
                <w:rFonts w:ascii="Avenir Next LT Pro" w:hAnsi="Avenir Next LT Pro"/>
                <w:sz w:val="16"/>
                <w:szCs w:val="16"/>
              </w:rPr>
              <w:t xml:space="preserve"> (pick ≥1)</w:t>
            </w:r>
          </w:p>
        </w:tc>
        <w:tc>
          <w:tcPr>
            <w:tcW w:w="853"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22DFAF5C"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Lymphatic Transport</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7A572732"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7C87B401" w14:textId="77777777" w:rsidR="00FE25D6" w:rsidRPr="00FE25D6" w:rsidRDefault="00FE25D6" w:rsidP="00FE25D6">
            <w:pPr>
              <w:pStyle w:val="NormalWeb"/>
              <w:rPr>
                <w:rFonts w:ascii="Avenir Next LT Pro" w:hAnsi="Avenir Next LT Pro"/>
                <w:sz w:val="16"/>
                <w:szCs w:val="16"/>
              </w:rPr>
            </w:pPr>
          </w:p>
        </w:tc>
      </w:tr>
      <w:tr w:rsidR="00FE25D6" w:rsidRPr="00FE25D6" w14:paraId="0C5AF2D7" w14:textId="77777777" w:rsidTr="00B11908">
        <w:tc>
          <w:tcPr>
            <w:tcW w:w="525" w:type="pct"/>
            <w:vMerge/>
            <w:tcBorders>
              <w:top w:val="single" w:sz="6" w:space="0" w:color="7F7F7F"/>
              <w:left w:val="single" w:sz="6" w:space="0" w:color="7F7F7F"/>
              <w:bottom w:val="single" w:sz="6" w:space="0" w:color="7F7F7F"/>
              <w:right w:val="single" w:sz="6" w:space="0" w:color="7F7F7F"/>
            </w:tcBorders>
            <w:vAlign w:val="center"/>
            <w:hideMark/>
          </w:tcPr>
          <w:p w14:paraId="22968A1A" w14:textId="77777777" w:rsidR="00FE25D6" w:rsidRPr="00FE25D6" w:rsidRDefault="00FE25D6" w:rsidP="00FE25D6">
            <w:pPr>
              <w:pStyle w:val="NormalWeb"/>
              <w:rPr>
                <w:rFonts w:ascii="Avenir Next LT Pro" w:hAnsi="Avenir Next LT Pro"/>
                <w:sz w:val="16"/>
                <w:szCs w:val="16"/>
              </w:rPr>
            </w:pPr>
          </w:p>
        </w:tc>
        <w:tc>
          <w:tcPr>
            <w:tcW w:w="853"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043CC112"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Lymphatic Pressure</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29C776CE"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64257734" w14:textId="77777777" w:rsidR="00FE25D6" w:rsidRPr="00FE25D6" w:rsidRDefault="00FE25D6" w:rsidP="00FE25D6">
            <w:pPr>
              <w:pStyle w:val="NormalWeb"/>
              <w:rPr>
                <w:rFonts w:ascii="Avenir Next LT Pro" w:hAnsi="Avenir Next LT Pro"/>
                <w:sz w:val="16"/>
                <w:szCs w:val="16"/>
              </w:rPr>
            </w:pPr>
          </w:p>
        </w:tc>
      </w:tr>
      <w:tr w:rsidR="00FE25D6" w:rsidRPr="00FE25D6" w14:paraId="33C10E45" w14:textId="77777777" w:rsidTr="00B11908">
        <w:tc>
          <w:tcPr>
            <w:tcW w:w="525" w:type="pct"/>
            <w:vMerge/>
            <w:tcBorders>
              <w:top w:val="single" w:sz="6" w:space="0" w:color="7F7F7F"/>
              <w:left w:val="single" w:sz="6" w:space="0" w:color="7F7F7F"/>
              <w:bottom w:val="single" w:sz="6" w:space="0" w:color="7F7F7F"/>
              <w:right w:val="single" w:sz="6" w:space="0" w:color="7F7F7F"/>
            </w:tcBorders>
            <w:vAlign w:val="center"/>
            <w:hideMark/>
          </w:tcPr>
          <w:p w14:paraId="1822D9A1" w14:textId="77777777" w:rsidR="00FE25D6" w:rsidRPr="00FE25D6" w:rsidRDefault="00FE25D6" w:rsidP="00FE25D6">
            <w:pPr>
              <w:pStyle w:val="NormalWeb"/>
              <w:rPr>
                <w:rFonts w:ascii="Avenir Next LT Pro" w:hAnsi="Avenir Next LT Pro"/>
                <w:sz w:val="16"/>
                <w:szCs w:val="16"/>
              </w:rPr>
            </w:pPr>
          </w:p>
        </w:tc>
        <w:tc>
          <w:tcPr>
            <w:tcW w:w="853"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0C03BFD2"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Lymphatic Vessel Contractility</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06E295F6"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3D9FBA76" w14:textId="77777777" w:rsidR="00FE25D6" w:rsidRPr="00FE25D6" w:rsidRDefault="00FE25D6" w:rsidP="00FE25D6">
            <w:pPr>
              <w:pStyle w:val="NormalWeb"/>
              <w:rPr>
                <w:rFonts w:ascii="Avenir Next LT Pro" w:hAnsi="Avenir Next LT Pro"/>
                <w:sz w:val="16"/>
                <w:szCs w:val="16"/>
              </w:rPr>
            </w:pPr>
          </w:p>
        </w:tc>
      </w:tr>
      <w:tr w:rsidR="00FE25D6" w:rsidRPr="00FE25D6" w14:paraId="407AF7D8" w14:textId="77777777" w:rsidTr="00B11908">
        <w:tc>
          <w:tcPr>
            <w:tcW w:w="525" w:type="pct"/>
            <w:vMerge/>
            <w:tcBorders>
              <w:top w:val="single" w:sz="6" w:space="0" w:color="7F7F7F"/>
              <w:left w:val="single" w:sz="6" w:space="0" w:color="7F7F7F"/>
              <w:bottom w:val="single" w:sz="6" w:space="0" w:color="7F7F7F"/>
              <w:right w:val="single" w:sz="6" w:space="0" w:color="7F7F7F"/>
            </w:tcBorders>
            <w:vAlign w:val="center"/>
            <w:hideMark/>
          </w:tcPr>
          <w:p w14:paraId="104D38E6" w14:textId="77777777" w:rsidR="00FE25D6" w:rsidRPr="00FE25D6" w:rsidRDefault="00FE25D6" w:rsidP="00FE25D6">
            <w:pPr>
              <w:pStyle w:val="NormalWeb"/>
              <w:rPr>
                <w:rFonts w:ascii="Avenir Next LT Pro" w:hAnsi="Avenir Next LT Pro"/>
                <w:sz w:val="16"/>
                <w:szCs w:val="16"/>
              </w:rPr>
            </w:pPr>
          </w:p>
        </w:tc>
        <w:tc>
          <w:tcPr>
            <w:tcW w:w="853"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7D8C7C22"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Volume/Displacement</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1183277B"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6F8E485D" w14:textId="77777777" w:rsidR="00FE25D6" w:rsidRPr="00FE25D6" w:rsidRDefault="00FE25D6" w:rsidP="00FE25D6">
            <w:pPr>
              <w:pStyle w:val="NormalWeb"/>
              <w:rPr>
                <w:rFonts w:ascii="Avenir Next LT Pro" w:hAnsi="Avenir Next LT Pro"/>
                <w:sz w:val="16"/>
                <w:szCs w:val="16"/>
              </w:rPr>
            </w:pPr>
          </w:p>
        </w:tc>
      </w:tr>
      <w:tr w:rsidR="00FE25D6" w:rsidRPr="00FE25D6" w14:paraId="39C8861A" w14:textId="77777777" w:rsidTr="00B11908">
        <w:tc>
          <w:tcPr>
            <w:tcW w:w="525" w:type="pct"/>
            <w:vMerge w:val="restar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textDirection w:val="btLr"/>
            <w:hideMark/>
          </w:tcPr>
          <w:p w14:paraId="4882EE36" w14:textId="23DDBD5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 xml:space="preserve"> Disease Specific Efficacy Targets</w:t>
            </w:r>
            <w:r w:rsidRPr="00FE25D6">
              <w:rPr>
                <w:rFonts w:ascii="Avenir Next LT Pro" w:hAnsi="Avenir Next LT Pro"/>
                <w:sz w:val="16"/>
                <w:szCs w:val="16"/>
                <w:vertAlign w:val="superscript"/>
              </w:rPr>
              <w:t>2</w:t>
            </w:r>
          </w:p>
        </w:tc>
        <w:tc>
          <w:tcPr>
            <w:tcW w:w="853"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61F9782A"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i/>
                <w:iCs/>
                <w:sz w:val="16"/>
                <w:szCs w:val="16"/>
              </w:rPr>
              <w:t>Ex. Skin Thickness (Lymphedema)</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3A83C856"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6CA9665A" w14:textId="77777777" w:rsidR="00FE25D6" w:rsidRPr="00FE25D6" w:rsidRDefault="00FE25D6" w:rsidP="00FE25D6">
            <w:pPr>
              <w:pStyle w:val="NormalWeb"/>
              <w:rPr>
                <w:rFonts w:ascii="Avenir Next LT Pro" w:hAnsi="Avenir Next LT Pro"/>
                <w:sz w:val="16"/>
                <w:szCs w:val="16"/>
              </w:rPr>
            </w:pPr>
          </w:p>
        </w:tc>
      </w:tr>
      <w:tr w:rsidR="00FE25D6" w:rsidRPr="00FE25D6" w14:paraId="5D69914B" w14:textId="77777777" w:rsidTr="00B11908">
        <w:tc>
          <w:tcPr>
            <w:tcW w:w="525" w:type="pct"/>
            <w:vMerge/>
            <w:tcBorders>
              <w:top w:val="single" w:sz="6" w:space="0" w:color="7F7F7F"/>
              <w:left w:val="single" w:sz="6" w:space="0" w:color="7F7F7F"/>
              <w:bottom w:val="single" w:sz="6" w:space="0" w:color="7F7F7F"/>
              <w:right w:val="single" w:sz="6" w:space="0" w:color="7F7F7F"/>
            </w:tcBorders>
            <w:vAlign w:val="center"/>
            <w:hideMark/>
          </w:tcPr>
          <w:p w14:paraId="5CCD7394" w14:textId="77777777" w:rsidR="00FE25D6" w:rsidRPr="00FE25D6" w:rsidRDefault="00FE25D6" w:rsidP="00FE25D6">
            <w:pPr>
              <w:pStyle w:val="NormalWeb"/>
              <w:rPr>
                <w:rFonts w:ascii="Avenir Next LT Pro" w:hAnsi="Avenir Next LT Pro"/>
                <w:sz w:val="16"/>
                <w:szCs w:val="16"/>
              </w:rPr>
            </w:pPr>
          </w:p>
        </w:tc>
        <w:tc>
          <w:tcPr>
            <w:tcW w:w="853"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50D7D054"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i/>
                <w:iCs/>
                <w:sz w:val="16"/>
                <w:szCs w:val="16"/>
              </w:rPr>
              <w:t>Ex. Stool Calprotectin Levels (IBD)</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025FFF03"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37C6B70F" w14:textId="77777777" w:rsidR="00FE25D6" w:rsidRPr="00FE25D6" w:rsidRDefault="00FE25D6" w:rsidP="00FE25D6">
            <w:pPr>
              <w:pStyle w:val="NormalWeb"/>
              <w:rPr>
                <w:rFonts w:ascii="Avenir Next LT Pro" w:hAnsi="Avenir Next LT Pro"/>
                <w:sz w:val="16"/>
                <w:szCs w:val="16"/>
              </w:rPr>
            </w:pPr>
          </w:p>
        </w:tc>
      </w:tr>
      <w:tr w:rsidR="00FE25D6" w:rsidRPr="00FE25D6" w14:paraId="18374769" w14:textId="77777777" w:rsidTr="00B11908">
        <w:tc>
          <w:tcPr>
            <w:tcW w:w="525" w:type="pct"/>
            <w:vMerge/>
            <w:tcBorders>
              <w:top w:val="single" w:sz="6" w:space="0" w:color="7F7F7F"/>
              <w:left w:val="single" w:sz="6" w:space="0" w:color="7F7F7F"/>
              <w:bottom w:val="single" w:sz="6" w:space="0" w:color="7F7F7F"/>
              <w:right w:val="single" w:sz="6" w:space="0" w:color="7F7F7F"/>
            </w:tcBorders>
            <w:vAlign w:val="center"/>
            <w:hideMark/>
          </w:tcPr>
          <w:p w14:paraId="35F7C8BB" w14:textId="77777777" w:rsidR="00FE25D6" w:rsidRPr="00FE25D6" w:rsidRDefault="00FE25D6" w:rsidP="00FE25D6">
            <w:pPr>
              <w:pStyle w:val="NormalWeb"/>
              <w:rPr>
                <w:rFonts w:ascii="Avenir Next LT Pro" w:hAnsi="Avenir Next LT Pro"/>
                <w:sz w:val="16"/>
                <w:szCs w:val="16"/>
              </w:rPr>
            </w:pPr>
          </w:p>
        </w:tc>
        <w:tc>
          <w:tcPr>
            <w:tcW w:w="853"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7DDC89A4"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i/>
                <w:iCs/>
                <w:sz w:val="16"/>
                <w:szCs w:val="16"/>
              </w:rPr>
              <w:t>Ex. Lesion Size (Lymphatic Malformation)</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1099655F"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67D2ACAD" w14:textId="77777777" w:rsidR="00FE25D6" w:rsidRPr="00FE25D6" w:rsidRDefault="00FE25D6" w:rsidP="00FE25D6">
            <w:pPr>
              <w:pStyle w:val="NormalWeb"/>
              <w:rPr>
                <w:rFonts w:ascii="Avenir Next LT Pro" w:hAnsi="Avenir Next LT Pro"/>
                <w:sz w:val="16"/>
                <w:szCs w:val="16"/>
              </w:rPr>
            </w:pPr>
          </w:p>
        </w:tc>
      </w:tr>
      <w:tr w:rsidR="00FE25D6" w:rsidRPr="00FE25D6" w14:paraId="324B48EC" w14:textId="77777777" w:rsidTr="00B11908">
        <w:tc>
          <w:tcPr>
            <w:tcW w:w="525" w:type="pct"/>
            <w:vMerge/>
            <w:tcBorders>
              <w:top w:val="single" w:sz="6" w:space="0" w:color="7F7F7F"/>
              <w:left w:val="single" w:sz="6" w:space="0" w:color="7F7F7F"/>
              <w:bottom w:val="single" w:sz="6" w:space="0" w:color="7F7F7F"/>
              <w:right w:val="single" w:sz="6" w:space="0" w:color="7F7F7F"/>
            </w:tcBorders>
            <w:vAlign w:val="center"/>
            <w:hideMark/>
          </w:tcPr>
          <w:p w14:paraId="1BBB4377" w14:textId="77777777" w:rsidR="00FE25D6" w:rsidRPr="00FE25D6" w:rsidRDefault="00FE25D6" w:rsidP="00FE25D6">
            <w:pPr>
              <w:pStyle w:val="NormalWeb"/>
              <w:rPr>
                <w:rFonts w:ascii="Avenir Next LT Pro" w:hAnsi="Avenir Next LT Pro"/>
                <w:sz w:val="16"/>
                <w:szCs w:val="16"/>
              </w:rPr>
            </w:pPr>
          </w:p>
        </w:tc>
        <w:tc>
          <w:tcPr>
            <w:tcW w:w="853"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7A17E82B"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i/>
                <w:iCs/>
                <w:sz w:val="16"/>
                <w:szCs w:val="16"/>
              </w:rPr>
              <w:t>Etc.</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0232C5D1"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70DB90B4" w14:textId="77777777" w:rsidR="00FE25D6" w:rsidRPr="00FE25D6" w:rsidRDefault="00FE25D6" w:rsidP="00FE25D6">
            <w:pPr>
              <w:pStyle w:val="NormalWeb"/>
              <w:rPr>
                <w:rFonts w:ascii="Avenir Next LT Pro" w:hAnsi="Avenir Next LT Pro"/>
                <w:sz w:val="16"/>
                <w:szCs w:val="16"/>
              </w:rPr>
            </w:pPr>
          </w:p>
        </w:tc>
      </w:tr>
      <w:tr w:rsidR="00FE25D6" w:rsidRPr="00FE25D6" w14:paraId="42585A29" w14:textId="77777777" w:rsidTr="00B11908">
        <w:tc>
          <w:tcPr>
            <w:tcW w:w="525" w:type="pct"/>
            <w:vMerge w:val="restar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textDirection w:val="btLr"/>
            <w:hideMark/>
          </w:tcPr>
          <w:p w14:paraId="0D395623"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Product Specific-ations</w:t>
            </w:r>
            <w:r w:rsidRPr="00FE25D6">
              <w:rPr>
                <w:rFonts w:ascii="Avenir Next LT Pro" w:hAnsi="Avenir Next LT Pro"/>
                <w:sz w:val="16"/>
                <w:szCs w:val="16"/>
                <w:vertAlign w:val="superscript"/>
              </w:rPr>
              <w:t>2</w:t>
            </w:r>
            <w:r w:rsidRPr="00FE25D6">
              <w:rPr>
                <w:rFonts w:ascii="Avenir Next LT Pro" w:hAnsi="Avenir Next LT Pro"/>
                <w:sz w:val="16"/>
                <w:szCs w:val="16"/>
              </w:rPr>
              <w:t xml:space="preserve">  </w:t>
            </w:r>
          </w:p>
        </w:tc>
        <w:tc>
          <w:tcPr>
            <w:tcW w:w="853"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6BAA2C5E"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i/>
                <w:iCs/>
                <w:sz w:val="16"/>
                <w:szCs w:val="16"/>
              </w:rPr>
              <w:t>Ex. Product Dimensions</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7A750011"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759077FF" w14:textId="77777777" w:rsidR="00FE25D6" w:rsidRPr="00FE25D6" w:rsidRDefault="00FE25D6" w:rsidP="00FE25D6">
            <w:pPr>
              <w:pStyle w:val="NormalWeb"/>
              <w:rPr>
                <w:rFonts w:ascii="Avenir Next LT Pro" w:hAnsi="Avenir Next LT Pro"/>
                <w:sz w:val="16"/>
                <w:szCs w:val="16"/>
              </w:rPr>
            </w:pPr>
          </w:p>
        </w:tc>
      </w:tr>
      <w:tr w:rsidR="00FE25D6" w:rsidRPr="00FE25D6" w14:paraId="5C5F7DFB" w14:textId="77777777" w:rsidTr="00B11908">
        <w:tc>
          <w:tcPr>
            <w:tcW w:w="525" w:type="pct"/>
            <w:vMerge/>
            <w:tcBorders>
              <w:top w:val="single" w:sz="6" w:space="0" w:color="7F7F7F"/>
              <w:left w:val="single" w:sz="6" w:space="0" w:color="7F7F7F"/>
              <w:bottom w:val="single" w:sz="6" w:space="0" w:color="7F7F7F"/>
              <w:right w:val="single" w:sz="6" w:space="0" w:color="7F7F7F"/>
            </w:tcBorders>
            <w:vAlign w:val="center"/>
            <w:hideMark/>
          </w:tcPr>
          <w:p w14:paraId="5287BFB8" w14:textId="77777777" w:rsidR="00FE25D6" w:rsidRPr="00FE25D6" w:rsidRDefault="00FE25D6" w:rsidP="00FE25D6">
            <w:pPr>
              <w:pStyle w:val="NormalWeb"/>
              <w:rPr>
                <w:rFonts w:ascii="Avenir Next LT Pro" w:hAnsi="Avenir Next LT Pro"/>
                <w:sz w:val="16"/>
                <w:szCs w:val="16"/>
              </w:rPr>
            </w:pPr>
          </w:p>
        </w:tc>
        <w:tc>
          <w:tcPr>
            <w:tcW w:w="853"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3CD2D41B"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i/>
                <w:iCs/>
                <w:sz w:val="16"/>
                <w:szCs w:val="16"/>
              </w:rPr>
              <w:t>Ex. Cost of Goods Manufactured (COGM)</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7F1FD69D"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037937D4" w14:textId="77777777" w:rsidR="00FE25D6" w:rsidRPr="00FE25D6" w:rsidRDefault="00FE25D6" w:rsidP="00FE25D6">
            <w:pPr>
              <w:pStyle w:val="NormalWeb"/>
              <w:rPr>
                <w:rFonts w:ascii="Avenir Next LT Pro" w:hAnsi="Avenir Next LT Pro"/>
                <w:sz w:val="16"/>
                <w:szCs w:val="16"/>
              </w:rPr>
            </w:pPr>
          </w:p>
        </w:tc>
      </w:tr>
      <w:tr w:rsidR="00FE25D6" w:rsidRPr="00FE25D6" w14:paraId="101AFF8F" w14:textId="77777777" w:rsidTr="00B11908">
        <w:tc>
          <w:tcPr>
            <w:tcW w:w="525" w:type="pct"/>
            <w:vMerge/>
            <w:tcBorders>
              <w:top w:val="single" w:sz="6" w:space="0" w:color="7F7F7F"/>
              <w:left w:val="single" w:sz="6" w:space="0" w:color="7F7F7F"/>
              <w:bottom w:val="single" w:sz="6" w:space="0" w:color="7F7F7F"/>
              <w:right w:val="single" w:sz="6" w:space="0" w:color="7F7F7F"/>
            </w:tcBorders>
            <w:vAlign w:val="center"/>
            <w:hideMark/>
          </w:tcPr>
          <w:p w14:paraId="5670E857" w14:textId="77777777" w:rsidR="00FE25D6" w:rsidRPr="00FE25D6" w:rsidRDefault="00FE25D6" w:rsidP="00FE25D6">
            <w:pPr>
              <w:pStyle w:val="NormalWeb"/>
              <w:rPr>
                <w:rFonts w:ascii="Avenir Next LT Pro" w:hAnsi="Avenir Next LT Pro"/>
                <w:sz w:val="16"/>
                <w:szCs w:val="16"/>
              </w:rPr>
            </w:pPr>
          </w:p>
        </w:tc>
        <w:tc>
          <w:tcPr>
            <w:tcW w:w="853"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448E297F"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i/>
                <w:iCs/>
                <w:sz w:val="16"/>
                <w:szCs w:val="16"/>
              </w:rPr>
              <w:t>Etc.</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1CDAC973"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106F123A" w14:textId="77777777" w:rsidR="00FE25D6" w:rsidRPr="00FE25D6" w:rsidRDefault="00FE25D6" w:rsidP="00FE25D6">
            <w:pPr>
              <w:pStyle w:val="NormalWeb"/>
              <w:rPr>
                <w:rFonts w:ascii="Avenir Next LT Pro" w:hAnsi="Avenir Next LT Pro"/>
                <w:sz w:val="16"/>
                <w:szCs w:val="16"/>
              </w:rPr>
            </w:pPr>
          </w:p>
        </w:tc>
      </w:tr>
      <w:tr w:rsidR="00FE25D6" w:rsidRPr="00FE25D6" w14:paraId="6F4EF060" w14:textId="77777777" w:rsidTr="00B11908">
        <w:tc>
          <w:tcPr>
            <w:tcW w:w="525" w:type="pct"/>
            <w:vMerge w:val="restart"/>
            <w:tcBorders>
              <w:top w:val="single" w:sz="6" w:space="0" w:color="7F7F7F"/>
              <w:left w:val="single" w:sz="6" w:space="0" w:color="7F7F7F"/>
              <w:bottom w:val="single" w:sz="6" w:space="0" w:color="7F7F7F"/>
              <w:right w:val="single" w:sz="8" w:space="0" w:color="959BA3"/>
            </w:tcBorders>
            <w:shd w:val="clear" w:color="auto" w:fill="auto"/>
            <w:tcMar>
              <w:top w:w="29" w:type="dxa"/>
              <w:left w:w="58" w:type="dxa"/>
              <w:bottom w:w="29" w:type="dxa"/>
              <w:right w:w="29" w:type="dxa"/>
            </w:tcMar>
            <w:textDirection w:val="btLr"/>
            <w:hideMark/>
          </w:tcPr>
          <w:p w14:paraId="76CAC52C"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Affordability and Accessibility</w:t>
            </w:r>
          </w:p>
        </w:tc>
        <w:tc>
          <w:tcPr>
            <w:tcW w:w="853" w:type="pct"/>
            <w:tcBorders>
              <w:top w:val="single" w:sz="6" w:space="0" w:color="7F7F7F"/>
              <w:left w:val="single" w:sz="8" w:space="0" w:color="959BA3"/>
              <w:bottom w:val="single" w:sz="6" w:space="0" w:color="7F7F7F"/>
              <w:right w:val="single" w:sz="6" w:space="0" w:color="7F7F7F"/>
            </w:tcBorders>
            <w:shd w:val="clear" w:color="auto" w:fill="auto"/>
            <w:tcMar>
              <w:top w:w="29" w:type="dxa"/>
              <w:left w:w="58" w:type="dxa"/>
              <w:bottom w:w="29" w:type="dxa"/>
              <w:right w:w="29" w:type="dxa"/>
            </w:tcMar>
            <w:hideMark/>
          </w:tcPr>
          <w:p w14:paraId="5BFB19FA"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Device Cost (to purchaser)</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4B20625D"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346A5BC2" w14:textId="77777777" w:rsidR="00FE25D6" w:rsidRPr="00FE25D6" w:rsidRDefault="00FE25D6" w:rsidP="00FE25D6">
            <w:pPr>
              <w:pStyle w:val="NormalWeb"/>
              <w:rPr>
                <w:rFonts w:ascii="Avenir Next LT Pro" w:hAnsi="Avenir Next LT Pro"/>
                <w:sz w:val="16"/>
                <w:szCs w:val="16"/>
              </w:rPr>
            </w:pPr>
          </w:p>
        </w:tc>
      </w:tr>
      <w:tr w:rsidR="00FE25D6" w:rsidRPr="00FE25D6" w14:paraId="01C5F2A8" w14:textId="77777777" w:rsidTr="00B11908">
        <w:tc>
          <w:tcPr>
            <w:tcW w:w="525" w:type="pct"/>
            <w:vMerge/>
            <w:tcBorders>
              <w:top w:val="single" w:sz="6" w:space="0" w:color="7F7F7F"/>
              <w:left w:val="single" w:sz="6" w:space="0" w:color="7F7F7F"/>
              <w:bottom w:val="single" w:sz="6" w:space="0" w:color="7F7F7F"/>
              <w:right w:val="single" w:sz="8" w:space="0" w:color="959BA3"/>
            </w:tcBorders>
            <w:vAlign w:val="center"/>
            <w:hideMark/>
          </w:tcPr>
          <w:p w14:paraId="426876FB" w14:textId="77777777" w:rsidR="00FE25D6" w:rsidRPr="00FE25D6" w:rsidRDefault="00FE25D6" w:rsidP="00FE25D6">
            <w:pPr>
              <w:pStyle w:val="NormalWeb"/>
              <w:rPr>
                <w:rFonts w:ascii="Avenir Next LT Pro" w:hAnsi="Avenir Next LT Pro"/>
                <w:sz w:val="16"/>
                <w:szCs w:val="16"/>
              </w:rPr>
            </w:pPr>
          </w:p>
        </w:tc>
        <w:tc>
          <w:tcPr>
            <w:tcW w:w="853" w:type="pct"/>
            <w:tcBorders>
              <w:top w:val="single" w:sz="6" w:space="0" w:color="7F7F7F"/>
              <w:left w:val="single" w:sz="8" w:space="0" w:color="959BA3"/>
              <w:bottom w:val="single" w:sz="6" w:space="0" w:color="7F7F7F"/>
              <w:right w:val="single" w:sz="6" w:space="0" w:color="7F7F7F"/>
            </w:tcBorders>
            <w:shd w:val="clear" w:color="auto" w:fill="auto"/>
            <w:tcMar>
              <w:top w:w="29" w:type="dxa"/>
              <w:left w:w="58" w:type="dxa"/>
              <w:bottom w:w="29" w:type="dxa"/>
              <w:right w:w="29" w:type="dxa"/>
            </w:tcMar>
            <w:hideMark/>
          </w:tcPr>
          <w:p w14:paraId="3CA9486F"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Procedure Cost (to patient)</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454CAE94"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29D23EF4" w14:textId="77777777" w:rsidR="00FE25D6" w:rsidRPr="00FE25D6" w:rsidRDefault="00FE25D6" w:rsidP="00FE25D6">
            <w:pPr>
              <w:pStyle w:val="NormalWeb"/>
              <w:rPr>
                <w:rFonts w:ascii="Avenir Next LT Pro" w:hAnsi="Avenir Next LT Pro"/>
                <w:sz w:val="16"/>
                <w:szCs w:val="16"/>
              </w:rPr>
            </w:pPr>
          </w:p>
        </w:tc>
      </w:tr>
      <w:tr w:rsidR="00FE25D6" w:rsidRPr="00FE25D6" w14:paraId="7ED67B98" w14:textId="77777777" w:rsidTr="00B11908">
        <w:tc>
          <w:tcPr>
            <w:tcW w:w="525" w:type="pct"/>
            <w:vMerge/>
            <w:tcBorders>
              <w:top w:val="single" w:sz="6" w:space="0" w:color="7F7F7F"/>
              <w:left w:val="single" w:sz="6" w:space="0" w:color="7F7F7F"/>
              <w:bottom w:val="single" w:sz="6" w:space="0" w:color="7F7F7F"/>
              <w:right w:val="single" w:sz="8" w:space="0" w:color="959BA3"/>
            </w:tcBorders>
            <w:vAlign w:val="center"/>
            <w:hideMark/>
          </w:tcPr>
          <w:p w14:paraId="21FACC9B" w14:textId="77777777" w:rsidR="00FE25D6" w:rsidRPr="00FE25D6" w:rsidRDefault="00FE25D6" w:rsidP="00FE25D6">
            <w:pPr>
              <w:pStyle w:val="NormalWeb"/>
              <w:rPr>
                <w:rFonts w:ascii="Avenir Next LT Pro" w:hAnsi="Avenir Next LT Pro"/>
                <w:sz w:val="16"/>
                <w:szCs w:val="16"/>
              </w:rPr>
            </w:pPr>
          </w:p>
        </w:tc>
        <w:tc>
          <w:tcPr>
            <w:tcW w:w="853" w:type="pct"/>
            <w:tcBorders>
              <w:top w:val="single" w:sz="6" w:space="0" w:color="7F7F7F"/>
              <w:left w:val="single" w:sz="8" w:space="0" w:color="959BA3"/>
              <w:bottom w:val="single" w:sz="6" w:space="0" w:color="7F7F7F"/>
              <w:right w:val="single" w:sz="6" w:space="0" w:color="7F7F7F"/>
            </w:tcBorders>
            <w:shd w:val="clear" w:color="auto" w:fill="auto"/>
            <w:tcMar>
              <w:top w:w="29" w:type="dxa"/>
              <w:left w:w="58" w:type="dxa"/>
              <w:bottom w:w="29" w:type="dxa"/>
              <w:right w:w="29" w:type="dxa"/>
            </w:tcMar>
            <w:hideMark/>
          </w:tcPr>
          <w:p w14:paraId="2D882B48"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Training/Ease of use</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5BF132E2"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4F39FE1D" w14:textId="77777777" w:rsidR="00FE25D6" w:rsidRPr="00FE25D6" w:rsidRDefault="00FE25D6" w:rsidP="00FE25D6">
            <w:pPr>
              <w:pStyle w:val="NormalWeb"/>
              <w:rPr>
                <w:rFonts w:ascii="Avenir Next LT Pro" w:hAnsi="Avenir Next LT Pro"/>
                <w:sz w:val="16"/>
                <w:szCs w:val="16"/>
              </w:rPr>
            </w:pPr>
          </w:p>
        </w:tc>
      </w:tr>
      <w:tr w:rsidR="00FE25D6" w:rsidRPr="00FE25D6" w14:paraId="28097310" w14:textId="77777777" w:rsidTr="00B11908">
        <w:tc>
          <w:tcPr>
            <w:tcW w:w="525" w:type="pct"/>
            <w:vMerge/>
            <w:tcBorders>
              <w:top w:val="single" w:sz="6" w:space="0" w:color="7F7F7F"/>
              <w:left w:val="single" w:sz="6" w:space="0" w:color="7F7F7F"/>
              <w:bottom w:val="single" w:sz="6" w:space="0" w:color="7F7F7F"/>
              <w:right w:val="single" w:sz="8" w:space="0" w:color="959BA3"/>
            </w:tcBorders>
            <w:vAlign w:val="center"/>
            <w:hideMark/>
          </w:tcPr>
          <w:p w14:paraId="055066FD" w14:textId="77777777" w:rsidR="00FE25D6" w:rsidRPr="00FE25D6" w:rsidRDefault="00FE25D6" w:rsidP="00FE25D6">
            <w:pPr>
              <w:pStyle w:val="NormalWeb"/>
              <w:rPr>
                <w:rFonts w:ascii="Avenir Next LT Pro" w:hAnsi="Avenir Next LT Pro"/>
                <w:sz w:val="16"/>
                <w:szCs w:val="16"/>
              </w:rPr>
            </w:pPr>
          </w:p>
        </w:tc>
        <w:tc>
          <w:tcPr>
            <w:tcW w:w="853" w:type="pct"/>
            <w:tcBorders>
              <w:top w:val="single" w:sz="6" w:space="0" w:color="7F7F7F"/>
              <w:left w:val="single" w:sz="8" w:space="0" w:color="959BA3"/>
              <w:bottom w:val="single" w:sz="6" w:space="0" w:color="7F7F7F"/>
              <w:right w:val="single" w:sz="6" w:space="0" w:color="7F7F7F"/>
            </w:tcBorders>
            <w:shd w:val="clear" w:color="auto" w:fill="auto"/>
            <w:tcMar>
              <w:top w:w="29" w:type="dxa"/>
              <w:left w:w="58" w:type="dxa"/>
              <w:bottom w:w="29" w:type="dxa"/>
              <w:right w:w="29" w:type="dxa"/>
            </w:tcMar>
            <w:hideMark/>
          </w:tcPr>
          <w:p w14:paraId="788BB99F" w14:textId="77777777" w:rsidR="00FE25D6" w:rsidRPr="00FE25D6" w:rsidRDefault="00FE25D6" w:rsidP="00FE25D6">
            <w:pPr>
              <w:pStyle w:val="NormalWeb"/>
              <w:rPr>
                <w:rFonts w:ascii="Avenir Next LT Pro" w:hAnsi="Avenir Next LT Pro"/>
                <w:sz w:val="16"/>
                <w:szCs w:val="16"/>
              </w:rPr>
            </w:pPr>
            <w:r w:rsidRPr="00FE25D6">
              <w:rPr>
                <w:rFonts w:ascii="Avenir Next LT Pro" w:hAnsi="Avenir Next LT Pro"/>
                <w:sz w:val="16"/>
                <w:szCs w:val="16"/>
              </w:rPr>
              <w:t>Accessibility</w:t>
            </w:r>
          </w:p>
        </w:tc>
        <w:tc>
          <w:tcPr>
            <w:tcW w:w="1811"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235CEE11" w14:textId="77777777" w:rsidR="00FE25D6" w:rsidRPr="00FE25D6" w:rsidRDefault="00FE25D6" w:rsidP="00FE25D6">
            <w:pPr>
              <w:pStyle w:val="NormalWeb"/>
              <w:rPr>
                <w:rFonts w:ascii="Avenir Next LT Pro" w:hAnsi="Avenir Next LT Pro"/>
                <w:sz w:val="16"/>
                <w:szCs w:val="16"/>
              </w:rPr>
            </w:pPr>
          </w:p>
        </w:tc>
        <w:tc>
          <w:tcPr>
            <w:tcW w:w="181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3F25CBD5" w14:textId="77777777" w:rsidR="00FE25D6" w:rsidRPr="00FE25D6" w:rsidRDefault="00FE25D6" w:rsidP="00FE25D6">
            <w:pPr>
              <w:pStyle w:val="NormalWeb"/>
              <w:rPr>
                <w:rFonts w:ascii="Avenir Next LT Pro" w:hAnsi="Avenir Next LT Pro"/>
                <w:sz w:val="16"/>
                <w:szCs w:val="16"/>
              </w:rPr>
            </w:pPr>
          </w:p>
        </w:tc>
      </w:tr>
    </w:tbl>
    <w:p w14:paraId="3005D782" w14:textId="77777777" w:rsidR="005A1D0F" w:rsidRPr="00681C49" w:rsidRDefault="005A1D0F" w:rsidP="00681C49">
      <w:pPr>
        <w:pStyle w:val="NormalWeb"/>
        <w:spacing w:before="0" w:beforeAutospacing="0" w:after="0" w:afterAutospacing="0"/>
        <w:rPr>
          <w:rFonts w:ascii="Avenir Next LT Pro" w:hAnsi="Avenir Next LT Pro"/>
          <w:sz w:val="16"/>
          <w:szCs w:val="16"/>
        </w:rPr>
      </w:pPr>
    </w:p>
    <w:p w14:paraId="7A788434" w14:textId="77777777" w:rsidR="00681C49" w:rsidRPr="00195C14" w:rsidRDefault="00681C49" w:rsidP="00681C49">
      <w:pPr>
        <w:pStyle w:val="NormalWeb"/>
        <w:spacing w:before="0" w:beforeAutospacing="0" w:after="0" w:afterAutospacing="0"/>
        <w:rPr>
          <w:rFonts w:ascii="Avenir Next LT Pro" w:hAnsi="Avenir Next LT Pro"/>
          <w:sz w:val="18"/>
          <w:szCs w:val="18"/>
        </w:rPr>
      </w:pPr>
      <w:r w:rsidRPr="00195C14">
        <w:rPr>
          <w:rFonts w:ascii="Avenir Next LT Pro" w:eastAsia="+mn-ea" w:hAnsi="Avenir Next LT Pro" w:cs="+mn-cs"/>
          <w:kern w:val="24"/>
          <w:sz w:val="18"/>
          <w:szCs w:val="18"/>
        </w:rPr>
        <w:t>Steps Required:</w:t>
      </w:r>
    </w:p>
    <w:p w14:paraId="7C74B13A" w14:textId="5224C84D" w:rsidR="00681C49" w:rsidRPr="00195C14" w:rsidRDefault="00681C49" w:rsidP="00681C49">
      <w:pPr>
        <w:pStyle w:val="NormalWeb"/>
        <w:numPr>
          <w:ilvl w:val="0"/>
          <w:numId w:val="1"/>
        </w:numPr>
        <w:spacing w:before="0" w:beforeAutospacing="0" w:after="0" w:afterAutospacing="0"/>
        <w:rPr>
          <w:rFonts w:ascii="Avenir Next LT Pro" w:eastAsia="+mn-ea" w:hAnsi="Avenir Next LT Pro" w:cs="+mn-cs"/>
          <w:kern w:val="24"/>
          <w:sz w:val="18"/>
          <w:szCs w:val="18"/>
        </w:rPr>
      </w:pPr>
      <w:r w:rsidRPr="00195C14">
        <w:rPr>
          <w:rFonts w:ascii="Avenir Next LT Pro" w:eastAsia="+mn-ea" w:hAnsi="Avenir Next LT Pro" w:cs="+mn-cs"/>
          <w:kern w:val="24"/>
          <w:sz w:val="18"/>
          <w:szCs w:val="18"/>
        </w:rPr>
        <w:t xml:space="preserve">Define the </w:t>
      </w:r>
      <w:r w:rsidRPr="00195C14">
        <w:rPr>
          <w:rFonts w:ascii="Avenir Next LT Pro" w:eastAsia="+mn-ea" w:hAnsi="Avenir Next LT Pro" w:cs="+mn-cs"/>
          <w:i/>
          <w:iCs/>
          <w:kern w:val="24"/>
          <w:sz w:val="18"/>
          <w:szCs w:val="18"/>
          <w:u w:val="single"/>
        </w:rPr>
        <w:t>healthy</w:t>
      </w:r>
      <w:r w:rsidRPr="00195C14">
        <w:rPr>
          <w:rFonts w:ascii="Avenir Next LT Pro" w:eastAsia="+mn-ea" w:hAnsi="Avenir Next LT Pro" w:cs="+mn-cs"/>
          <w:i/>
          <w:iCs/>
          <w:kern w:val="24"/>
          <w:sz w:val="18"/>
          <w:szCs w:val="18"/>
        </w:rPr>
        <w:t xml:space="preserve"> or </w:t>
      </w:r>
      <w:r w:rsidRPr="00195C14">
        <w:rPr>
          <w:rFonts w:ascii="Avenir Next LT Pro" w:eastAsia="+mn-ea" w:hAnsi="Avenir Next LT Pro" w:cs="+mn-cs"/>
          <w:i/>
          <w:iCs/>
          <w:kern w:val="24"/>
          <w:sz w:val="18"/>
          <w:szCs w:val="18"/>
          <w:u w:val="single"/>
        </w:rPr>
        <w:t>therapeutic</w:t>
      </w:r>
      <w:r w:rsidRPr="00195C14">
        <w:rPr>
          <w:rFonts w:ascii="Avenir Next LT Pro" w:eastAsia="+mn-ea" w:hAnsi="Avenir Next LT Pro" w:cs="+mn-cs"/>
          <w:i/>
          <w:iCs/>
          <w:kern w:val="24"/>
          <w:sz w:val="18"/>
          <w:szCs w:val="18"/>
        </w:rPr>
        <w:t xml:space="preserve"> range</w:t>
      </w:r>
      <w:r w:rsidRPr="00195C14">
        <w:rPr>
          <w:rFonts w:ascii="Avenir Next LT Pro" w:eastAsia="+mn-ea" w:hAnsi="Avenir Next LT Pro" w:cs="+mn-cs"/>
          <w:kern w:val="24"/>
          <w:sz w:val="18"/>
          <w:szCs w:val="18"/>
        </w:rPr>
        <w:t xml:space="preserve"> of ≥</w:t>
      </w:r>
      <w:r w:rsidR="00B11908">
        <w:rPr>
          <w:rFonts w:ascii="Avenir Next LT Pro" w:eastAsia="+mn-ea" w:hAnsi="Avenir Next LT Pro" w:cs="+mn-cs"/>
          <w:kern w:val="24"/>
          <w:sz w:val="18"/>
          <w:szCs w:val="18"/>
        </w:rPr>
        <w:t>1</w:t>
      </w:r>
      <w:r w:rsidRPr="00195C14">
        <w:rPr>
          <w:rFonts w:ascii="Avenir Next LT Pro" w:eastAsia="+mn-ea" w:hAnsi="Avenir Next LT Pro" w:cs="+mn-cs"/>
          <w:kern w:val="24"/>
          <w:sz w:val="18"/>
          <w:szCs w:val="18"/>
        </w:rPr>
        <w:t xml:space="preserve"> lymphatic functions in their indication and propose to restore function to that target range.</w:t>
      </w:r>
    </w:p>
    <w:p w14:paraId="23C00578" w14:textId="77777777" w:rsidR="00681C49" w:rsidRPr="00195C14" w:rsidRDefault="00681C49" w:rsidP="00681C49">
      <w:pPr>
        <w:pStyle w:val="NormalWeb"/>
        <w:numPr>
          <w:ilvl w:val="0"/>
          <w:numId w:val="1"/>
        </w:numPr>
        <w:spacing w:before="0" w:beforeAutospacing="0" w:after="0" w:afterAutospacing="0"/>
        <w:rPr>
          <w:rFonts w:ascii="Avenir Next LT Pro" w:eastAsia="+mn-ea" w:hAnsi="Avenir Next LT Pro" w:cs="+mn-cs"/>
          <w:kern w:val="24"/>
          <w:sz w:val="18"/>
          <w:szCs w:val="18"/>
        </w:rPr>
      </w:pPr>
      <w:r w:rsidRPr="00195C14">
        <w:rPr>
          <w:rFonts w:ascii="Avenir Next LT Pro" w:eastAsia="+mn-ea" w:hAnsi="Avenir Next LT Pro" w:cs="+mn-cs"/>
          <w:sz w:val="18"/>
          <w:szCs w:val="18"/>
        </w:rPr>
        <w:t>I</w:t>
      </w:r>
      <w:r w:rsidRPr="00195C14">
        <w:rPr>
          <w:rFonts w:ascii="Avenir Next LT Pro" w:eastAsia="+mn-ea" w:hAnsi="Avenir Next LT Pro" w:cs="+mn-cs"/>
          <w:kern w:val="24"/>
          <w:sz w:val="18"/>
          <w:szCs w:val="18"/>
        </w:rPr>
        <w:t xml:space="preserve">nclude additional </w:t>
      </w:r>
      <w:r w:rsidRPr="00195C14">
        <w:rPr>
          <w:rFonts w:ascii="Avenir Next LT Pro" w:eastAsia="+mn-ea" w:hAnsi="Avenir Next LT Pro" w:cs="+mn-cs"/>
          <w:i/>
          <w:iCs/>
          <w:kern w:val="24"/>
          <w:sz w:val="18"/>
          <w:szCs w:val="18"/>
          <w:u w:val="single"/>
        </w:rPr>
        <w:t xml:space="preserve">minimal and ideal results </w:t>
      </w:r>
      <w:r w:rsidRPr="00195C14">
        <w:rPr>
          <w:rFonts w:ascii="Avenir Next LT Pro" w:eastAsia="+mn-ea" w:hAnsi="Avenir Next LT Pro" w:cs="+mn-cs"/>
          <w:kern w:val="24"/>
          <w:sz w:val="18"/>
          <w:szCs w:val="18"/>
        </w:rPr>
        <w:t xml:space="preserve">specific to the claim and indication of use for the targeted disease. </w:t>
      </w:r>
      <w:r w:rsidRPr="00195C14">
        <w:rPr>
          <w:rFonts w:ascii="Avenir Next LT Pro" w:eastAsia="+mn-ea" w:hAnsi="Avenir Next LT Pro" w:cs="+mn-cs"/>
          <w:i/>
          <w:iCs/>
          <w:kern w:val="24"/>
          <w:sz w:val="18"/>
          <w:szCs w:val="18"/>
        </w:rPr>
        <w:t>Listed examples are not requirements or formal suggestions.</w:t>
      </w:r>
    </w:p>
    <w:p w14:paraId="189E88C4" w14:textId="77777777" w:rsidR="00681C49" w:rsidRPr="00681C49" w:rsidRDefault="00681C49" w:rsidP="00681C49">
      <w:pPr>
        <w:rPr>
          <w:rFonts w:ascii="Avenir Next LT Pro" w:hAnsi="Avenir Next LT Pro"/>
          <w:sz w:val="16"/>
          <w:szCs w:val="16"/>
        </w:rPr>
      </w:pPr>
    </w:p>
    <w:p w14:paraId="14F17536" w14:textId="77777777" w:rsidR="00681C49" w:rsidRPr="00681C49" w:rsidRDefault="00681C49" w:rsidP="00681C49">
      <w:pPr>
        <w:spacing w:line="240" w:lineRule="auto"/>
        <w:rPr>
          <w:rFonts w:ascii="Avenir Next LT Pro" w:eastAsia="Avenir Next LT Pro" w:hAnsi="Avenir Next LT Pro" w:cs="Avenir Next LT Pro"/>
          <w:b/>
          <w:bCs/>
          <w:sz w:val="16"/>
          <w:szCs w:val="16"/>
        </w:rPr>
      </w:pPr>
    </w:p>
    <w:p w14:paraId="2633F18F" w14:textId="77777777" w:rsidR="0089512F" w:rsidRDefault="0089512F">
      <w:pPr>
        <w:rPr>
          <w:rFonts w:ascii="Avenir Next LT Pro" w:eastAsia="Avenir Next LT Pro" w:hAnsi="Avenir Next LT Pro" w:cs="Avenir Next LT Pro"/>
          <w:b/>
          <w:bCs/>
        </w:rPr>
      </w:pPr>
      <w:r>
        <w:rPr>
          <w:rFonts w:ascii="Avenir Next LT Pro" w:eastAsia="Avenir Next LT Pro" w:hAnsi="Avenir Next LT Pro" w:cs="Avenir Next LT Pro"/>
          <w:b/>
          <w:bCs/>
        </w:rPr>
        <w:br w:type="page"/>
      </w:r>
    </w:p>
    <w:p w14:paraId="0E2A6054" w14:textId="6F12BBC8" w:rsidR="00681C49" w:rsidRPr="00681C49" w:rsidRDefault="00681C49" w:rsidP="00681C49">
      <w:pPr>
        <w:spacing w:line="240" w:lineRule="auto"/>
        <w:rPr>
          <w:rFonts w:ascii="Avenir Next LT Pro" w:eastAsia="Avenir Next LT Pro" w:hAnsi="Avenir Next LT Pro" w:cs="Avenir Next LT Pro"/>
          <w:b/>
          <w:bCs/>
        </w:rPr>
      </w:pPr>
      <w:r w:rsidRPr="00681C49">
        <w:rPr>
          <w:rFonts w:ascii="Avenir Next LT Pro" w:eastAsia="Avenir Next LT Pro" w:hAnsi="Avenir Next LT Pro" w:cs="Avenir Next LT Pro"/>
          <w:b/>
          <w:bCs/>
        </w:rPr>
        <w:lastRenderedPageBreak/>
        <w:t>TA2 Target Product Profile (TPP)</w:t>
      </w:r>
      <w:r w:rsidR="00195C14">
        <w:rPr>
          <w:rFonts w:ascii="Avenir Next LT Pro" w:eastAsia="Avenir Next LT Pro" w:hAnsi="Avenir Next LT Pro" w:cs="Avenir Next LT Pro"/>
          <w:b/>
          <w:bCs/>
        </w:rPr>
        <w:t>: Template</w:t>
      </w:r>
      <w:r w:rsidRPr="00681C49">
        <w:rPr>
          <w:rFonts w:ascii="Avenir Next LT Pro" w:eastAsia="Avenir Next LT Pro" w:hAnsi="Avenir Next LT Pro" w:cs="Avenir Next LT Pro"/>
          <w:b/>
          <w:bCs/>
        </w:rPr>
        <w:t xml:space="preserve"> </w:t>
      </w:r>
    </w:p>
    <w:p w14:paraId="0ABE237A" w14:textId="77777777" w:rsidR="00681C49" w:rsidRPr="00681C49" w:rsidRDefault="00681C49" w:rsidP="00681C49">
      <w:pPr>
        <w:pStyle w:val="NormalWeb"/>
        <w:spacing w:before="0" w:beforeAutospacing="0" w:after="0" w:afterAutospacing="0"/>
        <w:rPr>
          <w:rFonts w:ascii="Avenir Next LT Pro" w:hAnsi="Avenir Next LT Pro"/>
          <w:sz w:val="20"/>
          <w:szCs w:val="20"/>
        </w:rPr>
      </w:pPr>
      <w:r w:rsidRPr="00B62654">
        <w:rPr>
          <w:rFonts w:ascii="Avenir Next LT Pro" w:eastAsia="+mn-ea" w:hAnsi="Avenir Next LT Pro" w:cs="+mn-cs"/>
          <w:kern w:val="24"/>
          <w:sz w:val="18"/>
          <w:szCs w:val="18"/>
        </w:rPr>
        <w:t>Performers must submit a TPP for each disease indication with their submission detailing the technologies capabilities. The template below outlines GLIDE’s minimum expectations but should be expanded and tailored to fit the specific disease indications selected.</w:t>
      </w:r>
      <w:r w:rsidRPr="00681C49">
        <w:rPr>
          <w:rFonts w:ascii="Avenir Next LT Pro" w:eastAsia="+mn-ea" w:hAnsi="Avenir Next LT Pro" w:cs="+mn-cs"/>
          <w:kern w:val="24"/>
          <w:sz w:val="20"/>
          <w:szCs w:val="20"/>
        </w:rPr>
        <w:br/>
      </w:r>
    </w:p>
    <w:tbl>
      <w:tblPr>
        <w:tblW w:w="0" w:type="auto"/>
        <w:tblCellMar>
          <w:left w:w="0" w:type="dxa"/>
          <w:right w:w="0" w:type="dxa"/>
        </w:tblCellMar>
        <w:tblLook w:val="0420" w:firstRow="1" w:lastRow="0" w:firstColumn="0" w:lastColumn="0" w:noHBand="0" w:noVBand="1"/>
      </w:tblPr>
      <w:tblGrid>
        <w:gridCol w:w="1072"/>
        <w:gridCol w:w="2410"/>
        <w:gridCol w:w="2845"/>
        <w:gridCol w:w="2845"/>
      </w:tblGrid>
      <w:tr w:rsidR="00681C49" w:rsidRPr="00D74395" w14:paraId="021D3BED" w14:textId="77777777" w:rsidTr="00681C49">
        <w:tc>
          <w:tcPr>
            <w:tcW w:w="0" w:type="auto"/>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3B63B232"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Product description/Therapeutic Modality</w:t>
            </w:r>
          </w:p>
        </w:tc>
        <w:tc>
          <w:tcPr>
            <w:tcW w:w="5690" w:type="dxa"/>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7AB80ED0" w14:textId="6EACEAE4"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r>
      <w:tr w:rsidR="00681C49" w:rsidRPr="00D74395" w14:paraId="1BEA056F" w14:textId="77777777" w:rsidTr="00681C49">
        <w:tc>
          <w:tcPr>
            <w:tcW w:w="0" w:type="auto"/>
            <w:gridSpan w:val="2"/>
            <w:tcBorders>
              <w:top w:val="single" w:sz="6" w:space="0" w:color="7F7F7F"/>
              <w:left w:val="single" w:sz="6" w:space="0" w:color="7F7F7F"/>
              <w:bottom w:val="single" w:sz="6" w:space="0" w:color="7F7F7F"/>
              <w:right w:val="single" w:sz="6" w:space="0" w:color="7F7F7F"/>
            </w:tcBorders>
            <w:shd w:val="clear" w:color="auto" w:fill="C9F4FB"/>
            <w:tcMar>
              <w:top w:w="29" w:type="dxa"/>
              <w:left w:w="58" w:type="dxa"/>
              <w:bottom w:w="29" w:type="dxa"/>
              <w:right w:w="29" w:type="dxa"/>
            </w:tcMar>
            <w:hideMark/>
          </w:tcPr>
          <w:p w14:paraId="3690980A"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b/>
                <w:color w:val="131314"/>
                <w:kern w:val="24"/>
                <w:sz w:val="16"/>
                <w:szCs w:val="16"/>
                <w14:ligatures w14:val="none"/>
              </w:rPr>
              <w:t>Product Target</w:t>
            </w:r>
          </w:p>
        </w:tc>
        <w:tc>
          <w:tcPr>
            <w:tcW w:w="2845" w:type="dxa"/>
            <w:tcBorders>
              <w:top w:val="single" w:sz="6" w:space="0" w:color="7F7F7F"/>
              <w:left w:val="single" w:sz="6" w:space="0" w:color="7F7F7F"/>
              <w:bottom w:val="single" w:sz="6" w:space="0" w:color="7F7F7F"/>
              <w:right w:val="single" w:sz="6" w:space="0" w:color="7F7F7F"/>
            </w:tcBorders>
            <w:shd w:val="clear" w:color="auto" w:fill="C9F4FB"/>
            <w:tcMar>
              <w:top w:w="29" w:type="dxa"/>
              <w:left w:w="58" w:type="dxa"/>
              <w:bottom w:w="29" w:type="dxa"/>
              <w:right w:w="29" w:type="dxa"/>
            </w:tcMar>
            <w:hideMark/>
          </w:tcPr>
          <w:p w14:paraId="6425802A" w14:textId="77777777" w:rsidR="00681C49" w:rsidRPr="00D74395" w:rsidRDefault="00681C49" w:rsidP="005173CB">
            <w:pPr>
              <w:spacing w:after="0" w:line="240" w:lineRule="auto"/>
              <w:jc w:val="center"/>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b/>
                <w:color w:val="131314"/>
                <w:kern w:val="24"/>
                <w:sz w:val="16"/>
                <w:szCs w:val="16"/>
                <w14:ligatures w14:val="none"/>
              </w:rPr>
              <w:t>Minimal Acceptable Results</w:t>
            </w:r>
          </w:p>
        </w:tc>
        <w:tc>
          <w:tcPr>
            <w:tcW w:w="2845" w:type="dxa"/>
            <w:tcBorders>
              <w:top w:val="single" w:sz="6" w:space="0" w:color="7F7F7F"/>
              <w:left w:val="single" w:sz="6" w:space="0" w:color="7F7F7F"/>
              <w:bottom w:val="single" w:sz="6" w:space="0" w:color="7F7F7F"/>
              <w:right w:val="single" w:sz="6" w:space="0" w:color="7F7F7F"/>
            </w:tcBorders>
            <w:shd w:val="clear" w:color="auto" w:fill="C9F4FB"/>
            <w:tcMar>
              <w:top w:w="29" w:type="dxa"/>
              <w:left w:w="58" w:type="dxa"/>
              <w:bottom w:w="29" w:type="dxa"/>
              <w:right w:w="29" w:type="dxa"/>
            </w:tcMar>
            <w:hideMark/>
          </w:tcPr>
          <w:p w14:paraId="0DB2B582" w14:textId="77777777" w:rsidR="00681C49" w:rsidRPr="00D74395" w:rsidRDefault="00681C49" w:rsidP="005173CB">
            <w:pPr>
              <w:spacing w:after="0" w:line="240" w:lineRule="auto"/>
              <w:jc w:val="center"/>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b/>
                <w:color w:val="131314"/>
                <w:kern w:val="24"/>
                <w:sz w:val="16"/>
                <w:szCs w:val="16"/>
                <w14:ligatures w14:val="none"/>
              </w:rPr>
              <w:t>Optimal Results</w:t>
            </w:r>
          </w:p>
        </w:tc>
      </w:tr>
      <w:tr w:rsidR="00681C49" w:rsidRPr="00D74395" w14:paraId="3C794588" w14:textId="77777777" w:rsidTr="00681C49">
        <w:tc>
          <w:tcPr>
            <w:tcW w:w="0" w:type="auto"/>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7BDF388E"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Primary Product Indication</w:t>
            </w: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tcPr>
          <w:p w14:paraId="3D89997F" w14:textId="1E4C8913"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tcPr>
          <w:p w14:paraId="62D264FE" w14:textId="2FF327D9"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r>
      <w:tr w:rsidR="00681C49" w:rsidRPr="00D74395" w14:paraId="61A0F8E7" w14:textId="77777777" w:rsidTr="00681C49">
        <w:tc>
          <w:tcPr>
            <w:tcW w:w="0" w:type="auto"/>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136D4368"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Patient Population</w:t>
            </w: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tcPr>
          <w:p w14:paraId="61BFADD1" w14:textId="42B151CC"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tcPr>
          <w:p w14:paraId="117C1E3E" w14:textId="79335E30"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r>
      <w:tr w:rsidR="00681C49" w:rsidRPr="00D74395" w14:paraId="49B52AA6" w14:textId="77777777" w:rsidTr="00681C49">
        <w:tc>
          <w:tcPr>
            <w:tcW w:w="0" w:type="auto"/>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7779A196"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Treatment Duration</w:t>
            </w: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tcPr>
          <w:p w14:paraId="1038F85F" w14:textId="1EB10D0A"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tcPr>
          <w:p w14:paraId="749D182B" w14:textId="279BCA6A"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r>
      <w:tr w:rsidR="00681C49" w:rsidRPr="00D74395" w14:paraId="4EDB300E" w14:textId="77777777" w:rsidTr="00681C49">
        <w:tc>
          <w:tcPr>
            <w:tcW w:w="0" w:type="auto"/>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4631F40D"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Delivery Mode</w:t>
            </w: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tcPr>
          <w:p w14:paraId="2D212ABC" w14:textId="122A8903"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tcPr>
          <w:p w14:paraId="6C713A6C" w14:textId="094E0BE2"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r>
      <w:tr w:rsidR="00681C49" w:rsidRPr="00D74395" w14:paraId="2031EDBC" w14:textId="77777777" w:rsidTr="00681C49">
        <w:tc>
          <w:tcPr>
            <w:tcW w:w="0" w:type="auto"/>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49CF5570"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Quality of Life</w:t>
            </w: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tcPr>
          <w:p w14:paraId="320D870D" w14:textId="46A18E1F"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tcPr>
          <w:p w14:paraId="4C02BDA3" w14:textId="04D6FC81"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r>
      <w:tr w:rsidR="00681C49" w:rsidRPr="00D74395" w14:paraId="0BF4D7B1" w14:textId="77777777" w:rsidTr="00681C49">
        <w:tc>
          <w:tcPr>
            <w:tcW w:w="0" w:type="auto"/>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3679FEC5"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Adverse Event Rate</w:t>
            </w: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tcPr>
          <w:p w14:paraId="012F8B42" w14:textId="344AEB42"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tcPr>
          <w:p w14:paraId="17FE2597" w14:textId="3ED60A03"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r>
      <w:tr w:rsidR="00681C49" w:rsidRPr="00681C49" w14:paraId="70D306F8" w14:textId="77777777" w:rsidTr="00681C49">
        <w:tc>
          <w:tcPr>
            <w:tcW w:w="1072" w:type="dxa"/>
            <w:vMerge w:val="restar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textDirection w:val="btLr"/>
            <w:hideMark/>
          </w:tcPr>
          <w:p w14:paraId="4B036B5E" w14:textId="77777777" w:rsidR="00681C49" w:rsidRPr="00D74395" w:rsidRDefault="00681C49" w:rsidP="005173CB">
            <w:pPr>
              <w:spacing w:after="0" w:line="240" w:lineRule="auto"/>
              <w:jc w:val="center"/>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Lymphatic Functional Efficacy Targets</w:t>
            </w:r>
            <w:r w:rsidRPr="00D74395">
              <w:rPr>
                <w:rFonts w:ascii="Avenir Next LT Pro" w:eastAsia="Times New Roman" w:hAnsi="Avenir Next LT Pro" w:cs="Arial"/>
                <w:color w:val="131314"/>
                <w:kern w:val="24"/>
                <w:position w:val="5"/>
                <w:sz w:val="16"/>
                <w:szCs w:val="16"/>
                <w:vertAlign w:val="superscript"/>
                <w14:ligatures w14:val="none"/>
              </w:rPr>
              <w:t>1</w:t>
            </w:r>
            <w:r w:rsidRPr="00D74395">
              <w:rPr>
                <w:rFonts w:ascii="Avenir Next LT Pro" w:eastAsia="Times New Roman" w:hAnsi="Avenir Next LT Pro" w:cs="Arial"/>
                <w:color w:val="131314"/>
                <w:kern w:val="24"/>
                <w:sz w:val="16"/>
                <w:szCs w:val="16"/>
                <w14:ligatures w14:val="none"/>
              </w:rPr>
              <w:t xml:space="preserve"> (pick ≥2)</w:t>
            </w:r>
          </w:p>
        </w:tc>
        <w:tc>
          <w:tcPr>
            <w:tcW w:w="2410"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5D3AD0F9"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Lymphatic Vessel Density/Vascular Area</w:t>
            </w: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tcPr>
          <w:p w14:paraId="346FBE1E" w14:textId="0527971A" w:rsidR="00681C49" w:rsidRPr="00D74395" w:rsidRDefault="00681C49" w:rsidP="005173CB">
            <w:pPr>
              <w:spacing w:after="0" w:line="240" w:lineRule="auto"/>
              <w:jc w:val="center"/>
              <w:rPr>
                <w:rFonts w:ascii="Avenir Next LT Pro" w:eastAsia="Times New Roman" w:hAnsi="Avenir Next LT Pro" w:cs="Arial"/>
                <w:color w:val="FF33CC"/>
                <w:kern w:val="0"/>
                <w:sz w:val="16"/>
                <w:szCs w:val="16"/>
                <w14:ligatures w14:val="none"/>
              </w:rPr>
            </w:pP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tcPr>
          <w:p w14:paraId="3DDD60B0" w14:textId="39301878" w:rsidR="00681C49" w:rsidRPr="00D74395" w:rsidRDefault="00681C49" w:rsidP="005173CB">
            <w:pPr>
              <w:spacing w:after="0" w:line="240" w:lineRule="auto"/>
              <w:jc w:val="center"/>
              <w:rPr>
                <w:rFonts w:ascii="Avenir Next LT Pro" w:eastAsia="Times New Roman" w:hAnsi="Avenir Next LT Pro" w:cs="Arial"/>
                <w:color w:val="FF33CC"/>
                <w:kern w:val="0"/>
                <w:sz w:val="16"/>
                <w:szCs w:val="16"/>
                <w14:ligatures w14:val="none"/>
              </w:rPr>
            </w:pPr>
          </w:p>
        </w:tc>
      </w:tr>
      <w:tr w:rsidR="00681C49" w:rsidRPr="00681C49" w14:paraId="6B03ACEB" w14:textId="77777777" w:rsidTr="007F7E25">
        <w:tc>
          <w:tcPr>
            <w:tcW w:w="1072" w:type="dxa"/>
            <w:vMerge/>
            <w:tcBorders>
              <w:top w:val="single" w:sz="6" w:space="0" w:color="7F7F7F"/>
              <w:left w:val="single" w:sz="6" w:space="0" w:color="7F7F7F"/>
              <w:bottom w:val="single" w:sz="6" w:space="0" w:color="7F7F7F"/>
              <w:right w:val="single" w:sz="6" w:space="0" w:color="7F7F7F"/>
            </w:tcBorders>
            <w:vAlign w:val="center"/>
            <w:hideMark/>
          </w:tcPr>
          <w:p w14:paraId="6ABF396C"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410"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450AE2A3"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Lymphatic Transport</w:t>
            </w:r>
          </w:p>
        </w:tc>
        <w:tc>
          <w:tcPr>
            <w:tcW w:w="2845" w:type="dxa"/>
            <w:tcBorders>
              <w:top w:val="single" w:sz="6" w:space="0" w:color="7F7F7F"/>
              <w:left w:val="single" w:sz="6" w:space="0" w:color="7F7F7F"/>
              <w:bottom w:val="single" w:sz="6" w:space="0" w:color="7F7F7F"/>
              <w:right w:val="single" w:sz="6" w:space="0" w:color="7F7F7F"/>
            </w:tcBorders>
            <w:shd w:val="clear" w:color="auto" w:fill="auto"/>
            <w:vAlign w:val="center"/>
          </w:tcPr>
          <w:p w14:paraId="4DA57176"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tcBorders>
              <w:top w:val="single" w:sz="6" w:space="0" w:color="7F7F7F"/>
              <w:left w:val="single" w:sz="6" w:space="0" w:color="7F7F7F"/>
              <w:bottom w:val="single" w:sz="6" w:space="0" w:color="7F7F7F"/>
              <w:right w:val="single" w:sz="6" w:space="0" w:color="7F7F7F"/>
            </w:tcBorders>
            <w:shd w:val="clear" w:color="auto" w:fill="auto"/>
            <w:vAlign w:val="center"/>
          </w:tcPr>
          <w:p w14:paraId="5EFEAB6F"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r>
      <w:tr w:rsidR="00681C49" w:rsidRPr="00681C49" w14:paraId="4029B3EB" w14:textId="77777777" w:rsidTr="007F7E25">
        <w:tc>
          <w:tcPr>
            <w:tcW w:w="1072" w:type="dxa"/>
            <w:vMerge/>
            <w:tcBorders>
              <w:top w:val="single" w:sz="6" w:space="0" w:color="7F7F7F"/>
              <w:left w:val="single" w:sz="6" w:space="0" w:color="7F7F7F"/>
              <w:bottom w:val="single" w:sz="6" w:space="0" w:color="7F7F7F"/>
              <w:right w:val="single" w:sz="6" w:space="0" w:color="7F7F7F"/>
            </w:tcBorders>
            <w:vAlign w:val="center"/>
            <w:hideMark/>
          </w:tcPr>
          <w:p w14:paraId="070DAD49"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410"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32BD6B03"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Lymphatic Pressure</w:t>
            </w:r>
          </w:p>
        </w:tc>
        <w:tc>
          <w:tcPr>
            <w:tcW w:w="2845" w:type="dxa"/>
            <w:tcBorders>
              <w:top w:val="single" w:sz="6" w:space="0" w:color="7F7F7F"/>
              <w:left w:val="single" w:sz="6" w:space="0" w:color="7F7F7F"/>
              <w:bottom w:val="single" w:sz="6" w:space="0" w:color="7F7F7F"/>
              <w:right w:val="single" w:sz="6" w:space="0" w:color="7F7F7F"/>
            </w:tcBorders>
            <w:shd w:val="clear" w:color="auto" w:fill="auto"/>
            <w:vAlign w:val="center"/>
          </w:tcPr>
          <w:p w14:paraId="27BF3359"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tcBorders>
              <w:top w:val="single" w:sz="6" w:space="0" w:color="7F7F7F"/>
              <w:left w:val="single" w:sz="6" w:space="0" w:color="7F7F7F"/>
              <w:bottom w:val="single" w:sz="6" w:space="0" w:color="7F7F7F"/>
              <w:right w:val="single" w:sz="6" w:space="0" w:color="7F7F7F"/>
            </w:tcBorders>
            <w:shd w:val="clear" w:color="auto" w:fill="auto"/>
            <w:vAlign w:val="center"/>
          </w:tcPr>
          <w:p w14:paraId="6D21AE54"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r>
      <w:tr w:rsidR="00681C49" w:rsidRPr="00681C49" w14:paraId="373D1951" w14:textId="77777777" w:rsidTr="007F7E25">
        <w:tc>
          <w:tcPr>
            <w:tcW w:w="1072" w:type="dxa"/>
            <w:vMerge/>
            <w:tcBorders>
              <w:top w:val="single" w:sz="6" w:space="0" w:color="7F7F7F"/>
              <w:left w:val="single" w:sz="6" w:space="0" w:color="7F7F7F"/>
              <w:bottom w:val="single" w:sz="6" w:space="0" w:color="7F7F7F"/>
              <w:right w:val="single" w:sz="6" w:space="0" w:color="7F7F7F"/>
            </w:tcBorders>
            <w:vAlign w:val="center"/>
            <w:hideMark/>
          </w:tcPr>
          <w:p w14:paraId="1AE80B53"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410"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53073788"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Lymphatic Vessel Contractility</w:t>
            </w:r>
          </w:p>
        </w:tc>
        <w:tc>
          <w:tcPr>
            <w:tcW w:w="2845" w:type="dxa"/>
            <w:tcBorders>
              <w:top w:val="single" w:sz="6" w:space="0" w:color="7F7F7F"/>
              <w:left w:val="single" w:sz="6" w:space="0" w:color="7F7F7F"/>
              <w:bottom w:val="single" w:sz="6" w:space="0" w:color="7F7F7F"/>
              <w:right w:val="single" w:sz="6" w:space="0" w:color="7F7F7F"/>
            </w:tcBorders>
            <w:shd w:val="clear" w:color="auto" w:fill="auto"/>
            <w:vAlign w:val="center"/>
          </w:tcPr>
          <w:p w14:paraId="56EA4814"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tcBorders>
              <w:top w:val="single" w:sz="6" w:space="0" w:color="7F7F7F"/>
              <w:left w:val="single" w:sz="6" w:space="0" w:color="7F7F7F"/>
              <w:bottom w:val="single" w:sz="6" w:space="0" w:color="7F7F7F"/>
              <w:right w:val="single" w:sz="6" w:space="0" w:color="7F7F7F"/>
            </w:tcBorders>
            <w:shd w:val="clear" w:color="auto" w:fill="auto"/>
            <w:vAlign w:val="center"/>
          </w:tcPr>
          <w:p w14:paraId="74DC01C7"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r>
      <w:tr w:rsidR="00681C49" w:rsidRPr="00681C49" w14:paraId="4797ACA4" w14:textId="77777777" w:rsidTr="007F7E25">
        <w:tc>
          <w:tcPr>
            <w:tcW w:w="1072" w:type="dxa"/>
            <w:vMerge w:val="restar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textDirection w:val="btLr"/>
            <w:hideMark/>
          </w:tcPr>
          <w:p w14:paraId="3E01132A" w14:textId="77777777" w:rsidR="00681C49" w:rsidRPr="00D74395" w:rsidRDefault="00681C49" w:rsidP="005173CB">
            <w:pPr>
              <w:spacing w:after="0" w:line="240" w:lineRule="auto"/>
              <w:jc w:val="center"/>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 xml:space="preserve">Disease Specific </w:t>
            </w:r>
            <w:r w:rsidRPr="00681C49">
              <w:rPr>
                <w:rFonts w:ascii="Avenir Next LT Pro" w:eastAsia="Times New Roman" w:hAnsi="Avenir Next LT Pro" w:cs="Arial"/>
                <w:color w:val="131314"/>
                <w:kern w:val="24"/>
                <w:sz w:val="16"/>
                <w:szCs w:val="16"/>
                <w14:ligatures w14:val="none"/>
              </w:rPr>
              <w:t>Efficacy Targets</w:t>
            </w:r>
            <w:r w:rsidRPr="00D74395">
              <w:rPr>
                <w:rFonts w:ascii="Avenir Next LT Pro" w:eastAsia="Times New Roman" w:hAnsi="Avenir Next LT Pro" w:cs="Arial"/>
                <w:color w:val="131314"/>
                <w:kern w:val="24"/>
                <w:position w:val="5"/>
                <w:sz w:val="16"/>
                <w:szCs w:val="16"/>
                <w:vertAlign w:val="superscript"/>
                <w14:ligatures w14:val="none"/>
              </w:rPr>
              <w:t>2</w:t>
            </w:r>
          </w:p>
        </w:tc>
        <w:tc>
          <w:tcPr>
            <w:tcW w:w="2410"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4A490AD3"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i/>
                <w:color w:val="131314"/>
                <w:kern w:val="24"/>
                <w:sz w:val="16"/>
                <w:szCs w:val="16"/>
                <w14:ligatures w14:val="none"/>
              </w:rPr>
              <w:t>Ex. Skin Thickness (Lymphedema)</w:t>
            </w:r>
          </w:p>
        </w:tc>
        <w:tc>
          <w:tcPr>
            <w:tcW w:w="2845" w:type="dxa"/>
            <w:tcBorders>
              <w:top w:val="single" w:sz="6" w:space="0" w:color="7F7F7F"/>
              <w:left w:val="single" w:sz="6" w:space="0" w:color="7F7F7F"/>
              <w:bottom w:val="single" w:sz="6" w:space="0" w:color="7F7F7F"/>
              <w:right w:val="single" w:sz="6" w:space="0" w:color="7F7F7F"/>
            </w:tcBorders>
            <w:shd w:val="clear" w:color="auto" w:fill="auto"/>
            <w:vAlign w:val="center"/>
          </w:tcPr>
          <w:p w14:paraId="6F310EF3"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tcBorders>
              <w:top w:val="single" w:sz="6" w:space="0" w:color="7F7F7F"/>
              <w:left w:val="single" w:sz="6" w:space="0" w:color="7F7F7F"/>
              <w:bottom w:val="single" w:sz="6" w:space="0" w:color="7F7F7F"/>
              <w:right w:val="single" w:sz="6" w:space="0" w:color="7F7F7F"/>
            </w:tcBorders>
            <w:shd w:val="clear" w:color="auto" w:fill="auto"/>
            <w:vAlign w:val="center"/>
          </w:tcPr>
          <w:p w14:paraId="4817795C"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r>
      <w:tr w:rsidR="00681C49" w:rsidRPr="00681C49" w14:paraId="65B63595" w14:textId="77777777" w:rsidTr="007F7E25">
        <w:tc>
          <w:tcPr>
            <w:tcW w:w="1072" w:type="dxa"/>
            <w:vMerge/>
            <w:tcBorders>
              <w:top w:val="single" w:sz="6" w:space="0" w:color="7F7F7F"/>
              <w:left w:val="single" w:sz="6" w:space="0" w:color="7F7F7F"/>
              <w:bottom w:val="single" w:sz="6" w:space="0" w:color="7F7F7F"/>
              <w:right w:val="single" w:sz="6" w:space="0" w:color="7F7F7F"/>
            </w:tcBorders>
            <w:vAlign w:val="center"/>
            <w:hideMark/>
          </w:tcPr>
          <w:p w14:paraId="20C6F0D6"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410"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0B1212BE" w14:textId="3E447DC6"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i/>
                <w:color w:val="131314"/>
                <w:kern w:val="24"/>
                <w:sz w:val="16"/>
                <w:szCs w:val="16"/>
                <w14:ligatures w14:val="none"/>
              </w:rPr>
              <w:t xml:space="preserve">Ex. Stool Calprotectin Levels </w:t>
            </w:r>
            <w:r w:rsidRPr="00803F2A">
              <w:rPr>
                <w:rFonts w:ascii="Avenir Next LT Pro" w:hAnsi="Avenir Next LT Pro"/>
                <w:i/>
                <w:iCs/>
                <w:sz w:val="16"/>
                <w:szCs w:val="16"/>
              </w:rPr>
              <w:t>(</w:t>
            </w:r>
            <w:r w:rsidRPr="00681C49">
              <w:rPr>
                <w:rFonts w:ascii="Avenir Next LT Pro" w:hAnsi="Avenir Next LT Pro"/>
                <w:i/>
                <w:iCs/>
                <w:sz w:val="16"/>
                <w:szCs w:val="16"/>
              </w:rPr>
              <w:t>Inflammatory Bowel Disease</w:t>
            </w:r>
            <w:r w:rsidRPr="00803F2A">
              <w:rPr>
                <w:rFonts w:ascii="Avenir Next LT Pro" w:hAnsi="Avenir Next LT Pro"/>
                <w:i/>
                <w:iCs/>
                <w:sz w:val="16"/>
                <w:szCs w:val="16"/>
              </w:rPr>
              <w:t>)</w:t>
            </w:r>
          </w:p>
        </w:tc>
        <w:tc>
          <w:tcPr>
            <w:tcW w:w="2845" w:type="dxa"/>
            <w:tcBorders>
              <w:top w:val="single" w:sz="6" w:space="0" w:color="7F7F7F"/>
              <w:left w:val="single" w:sz="6" w:space="0" w:color="7F7F7F"/>
              <w:bottom w:val="single" w:sz="6" w:space="0" w:color="7F7F7F"/>
              <w:right w:val="single" w:sz="6" w:space="0" w:color="7F7F7F"/>
            </w:tcBorders>
            <w:shd w:val="clear" w:color="auto" w:fill="auto"/>
            <w:vAlign w:val="center"/>
          </w:tcPr>
          <w:p w14:paraId="4F65C410"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tcBorders>
              <w:top w:val="single" w:sz="6" w:space="0" w:color="7F7F7F"/>
              <w:left w:val="single" w:sz="6" w:space="0" w:color="7F7F7F"/>
              <w:bottom w:val="single" w:sz="6" w:space="0" w:color="7F7F7F"/>
              <w:right w:val="single" w:sz="6" w:space="0" w:color="7F7F7F"/>
            </w:tcBorders>
            <w:shd w:val="clear" w:color="auto" w:fill="auto"/>
            <w:vAlign w:val="center"/>
          </w:tcPr>
          <w:p w14:paraId="0E1F66C4"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r>
      <w:tr w:rsidR="00681C49" w:rsidRPr="00681C49" w14:paraId="12AEE8FE" w14:textId="77777777" w:rsidTr="007F7E25">
        <w:tc>
          <w:tcPr>
            <w:tcW w:w="1072" w:type="dxa"/>
            <w:vMerge/>
            <w:tcBorders>
              <w:top w:val="single" w:sz="6" w:space="0" w:color="7F7F7F"/>
              <w:left w:val="single" w:sz="6" w:space="0" w:color="7F7F7F"/>
              <w:bottom w:val="single" w:sz="6" w:space="0" w:color="7F7F7F"/>
              <w:right w:val="single" w:sz="6" w:space="0" w:color="7F7F7F"/>
            </w:tcBorders>
            <w:vAlign w:val="center"/>
            <w:hideMark/>
          </w:tcPr>
          <w:p w14:paraId="1A3280CE"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410"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1E8412FD"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i/>
                <w:color w:val="131314"/>
                <w:kern w:val="24"/>
                <w:sz w:val="16"/>
                <w:szCs w:val="16"/>
                <w14:ligatures w14:val="none"/>
              </w:rPr>
              <w:t>Ex. Lesion Size (Lymphatic Malformation)</w:t>
            </w:r>
          </w:p>
        </w:tc>
        <w:tc>
          <w:tcPr>
            <w:tcW w:w="2845" w:type="dxa"/>
            <w:tcBorders>
              <w:top w:val="single" w:sz="6" w:space="0" w:color="7F7F7F"/>
              <w:left w:val="single" w:sz="6" w:space="0" w:color="7F7F7F"/>
              <w:bottom w:val="single" w:sz="6" w:space="0" w:color="7F7F7F"/>
              <w:right w:val="single" w:sz="6" w:space="0" w:color="7F7F7F"/>
            </w:tcBorders>
            <w:shd w:val="clear" w:color="auto" w:fill="auto"/>
            <w:vAlign w:val="center"/>
          </w:tcPr>
          <w:p w14:paraId="4BD93792"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tcBorders>
              <w:top w:val="single" w:sz="6" w:space="0" w:color="7F7F7F"/>
              <w:left w:val="single" w:sz="6" w:space="0" w:color="7F7F7F"/>
              <w:bottom w:val="single" w:sz="6" w:space="0" w:color="7F7F7F"/>
              <w:right w:val="single" w:sz="6" w:space="0" w:color="7F7F7F"/>
            </w:tcBorders>
            <w:shd w:val="clear" w:color="auto" w:fill="auto"/>
            <w:vAlign w:val="center"/>
          </w:tcPr>
          <w:p w14:paraId="6735B6B3"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r>
      <w:tr w:rsidR="00681C49" w:rsidRPr="00681C49" w14:paraId="77A1DCEA" w14:textId="77777777" w:rsidTr="007F7E25">
        <w:trPr>
          <w:trHeight w:val="182"/>
        </w:trPr>
        <w:tc>
          <w:tcPr>
            <w:tcW w:w="1072" w:type="dxa"/>
            <w:vMerge/>
            <w:tcBorders>
              <w:top w:val="single" w:sz="6" w:space="0" w:color="7F7F7F"/>
              <w:left w:val="single" w:sz="6" w:space="0" w:color="7F7F7F"/>
              <w:bottom w:val="single" w:sz="6" w:space="0" w:color="7F7F7F"/>
              <w:right w:val="single" w:sz="6" w:space="0" w:color="7F7F7F"/>
            </w:tcBorders>
            <w:vAlign w:val="center"/>
            <w:hideMark/>
          </w:tcPr>
          <w:p w14:paraId="5B2D0454"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410"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690C0339"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i/>
                <w:color w:val="131314"/>
                <w:kern w:val="24"/>
                <w:sz w:val="16"/>
                <w:szCs w:val="16"/>
                <w14:ligatures w14:val="none"/>
              </w:rPr>
              <w:t>Etc.</w:t>
            </w:r>
          </w:p>
        </w:tc>
        <w:tc>
          <w:tcPr>
            <w:tcW w:w="2845" w:type="dxa"/>
            <w:tcBorders>
              <w:top w:val="single" w:sz="6" w:space="0" w:color="7F7F7F"/>
              <w:left w:val="single" w:sz="6" w:space="0" w:color="7F7F7F"/>
              <w:bottom w:val="single" w:sz="6" w:space="0" w:color="7F7F7F"/>
              <w:right w:val="single" w:sz="6" w:space="0" w:color="7F7F7F"/>
            </w:tcBorders>
            <w:shd w:val="clear" w:color="auto" w:fill="auto"/>
            <w:vAlign w:val="center"/>
          </w:tcPr>
          <w:p w14:paraId="0CE49374"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tcBorders>
              <w:top w:val="single" w:sz="6" w:space="0" w:color="7F7F7F"/>
              <w:left w:val="single" w:sz="6" w:space="0" w:color="7F7F7F"/>
              <w:bottom w:val="single" w:sz="6" w:space="0" w:color="7F7F7F"/>
              <w:right w:val="single" w:sz="6" w:space="0" w:color="7F7F7F"/>
            </w:tcBorders>
            <w:shd w:val="clear" w:color="auto" w:fill="auto"/>
            <w:vAlign w:val="center"/>
          </w:tcPr>
          <w:p w14:paraId="37F97247"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r>
      <w:tr w:rsidR="00681C49" w:rsidRPr="00681C49" w14:paraId="28A34E91" w14:textId="77777777" w:rsidTr="00681C49">
        <w:tc>
          <w:tcPr>
            <w:tcW w:w="1072" w:type="dxa"/>
            <w:vMerge w:val="restart"/>
            <w:tcBorders>
              <w:top w:val="single" w:sz="6" w:space="0" w:color="7F7F7F"/>
              <w:left w:val="single" w:sz="6" w:space="0" w:color="7F7F7F"/>
              <w:bottom w:val="single" w:sz="6" w:space="0" w:color="7F7F7F"/>
              <w:right w:val="single" w:sz="8" w:space="0" w:color="959BA3"/>
            </w:tcBorders>
            <w:shd w:val="clear" w:color="auto" w:fill="auto"/>
            <w:tcMar>
              <w:top w:w="29" w:type="dxa"/>
              <w:left w:w="58" w:type="dxa"/>
              <w:bottom w:w="29" w:type="dxa"/>
              <w:right w:w="29" w:type="dxa"/>
            </w:tcMar>
            <w:textDirection w:val="btLr"/>
            <w:hideMark/>
          </w:tcPr>
          <w:p w14:paraId="17A4F605" w14:textId="77777777" w:rsidR="00681C49" w:rsidRPr="00D74395" w:rsidRDefault="00681C49" w:rsidP="005173CB">
            <w:pPr>
              <w:spacing w:after="0" w:line="240" w:lineRule="auto"/>
              <w:jc w:val="center"/>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Product Specific-ations</w:t>
            </w:r>
            <w:r w:rsidRPr="00681C49">
              <w:rPr>
                <w:rFonts w:ascii="Avenir Next LT Pro" w:eastAsia="Times New Roman" w:hAnsi="Avenir Next LT Pro" w:cs="Arial"/>
                <w:color w:val="131314"/>
                <w:kern w:val="24"/>
                <w:sz w:val="16"/>
                <w:szCs w:val="16"/>
                <w:vertAlign w:val="superscript"/>
                <w14:ligatures w14:val="none"/>
              </w:rPr>
              <w:t>2</w:t>
            </w:r>
            <w:r w:rsidRPr="00D74395">
              <w:rPr>
                <w:rFonts w:ascii="Avenir Next LT Pro" w:eastAsia="Times New Roman" w:hAnsi="Avenir Next LT Pro" w:cs="Arial"/>
                <w:color w:val="131314"/>
                <w:kern w:val="24"/>
                <w:sz w:val="16"/>
                <w:szCs w:val="16"/>
                <w14:ligatures w14:val="none"/>
              </w:rPr>
              <w:t xml:space="preserve">  </w:t>
            </w:r>
          </w:p>
        </w:tc>
        <w:tc>
          <w:tcPr>
            <w:tcW w:w="2410" w:type="dxa"/>
            <w:tcBorders>
              <w:top w:val="single" w:sz="6" w:space="0" w:color="7F7F7F"/>
              <w:left w:val="single" w:sz="8" w:space="0" w:color="959BA3"/>
              <w:bottom w:val="single" w:sz="6" w:space="0" w:color="7F7F7F"/>
              <w:right w:val="single" w:sz="6" w:space="0" w:color="7F7F7F"/>
            </w:tcBorders>
            <w:shd w:val="clear" w:color="auto" w:fill="auto"/>
            <w:tcMar>
              <w:top w:w="29" w:type="dxa"/>
              <w:left w:w="58" w:type="dxa"/>
              <w:bottom w:w="29" w:type="dxa"/>
              <w:right w:w="29" w:type="dxa"/>
            </w:tcMar>
            <w:hideMark/>
          </w:tcPr>
          <w:p w14:paraId="2E7EDEC8"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i/>
                <w:color w:val="131314"/>
                <w:kern w:val="24"/>
                <w:sz w:val="16"/>
                <w:szCs w:val="16"/>
                <w14:ligatures w14:val="none"/>
              </w:rPr>
              <w:t>Ex. Cost of Goods Manufactured</w:t>
            </w:r>
          </w:p>
        </w:tc>
        <w:tc>
          <w:tcPr>
            <w:tcW w:w="2845" w:type="dxa"/>
            <w:vMerge w:val="restart"/>
            <w:tcBorders>
              <w:top w:val="single" w:sz="6" w:space="0" w:color="7F7F7F"/>
              <w:left w:val="single" w:sz="6" w:space="0" w:color="7F7F7F"/>
              <w:right w:val="single" w:sz="6" w:space="0" w:color="7F7F7F"/>
            </w:tcBorders>
            <w:shd w:val="clear" w:color="auto" w:fill="auto"/>
            <w:tcMar>
              <w:top w:w="29" w:type="dxa"/>
              <w:left w:w="58" w:type="dxa"/>
              <w:bottom w:w="29" w:type="dxa"/>
              <w:right w:w="29" w:type="dxa"/>
            </w:tcMar>
            <w:vAlign w:val="center"/>
          </w:tcPr>
          <w:p w14:paraId="543564A3" w14:textId="5799E7EC" w:rsidR="00681C49" w:rsidRPr="00D74395" w:rsidRDefault="00681C49" w:rsidP="005173CB">
            <w:pPr>
              <w:spacing w:after="0" w:line="240" w:lineRule="auto"/>
              <w:jc w:val="center"/>
              <w:rPr>
                <w:rFonts w:ascii="Avenir Next LT Pro" w:eastAsia="Times New Roman" w:hAnsi="Avenir Next LT Pro" w:cs="Arial"/>
                <w:color w:val="FF33CC"/>
                <w:kern w:val="0"/>
                <w:sz w:val="16"/>
                <w:szCs w:val="16"/>
                <w14:ligatures w14:val="none"/>
              </w:rPr>
            </w:pPr>
          </w:p>
        </w:tc>
        <w:tc>
          <w:tcPr>
            <w:tcW w:w="2845" w:type="dxa"/>
            <w:vMerge w:val="restart"/>
            <w:tcBorders>
              <w:top w:val="single" w:sz="6" w:space="0" w:color="7F7F7F"/>
              <w:left w:val="single" w:sz="6" w:space="0" w:color="7F7F7F"/>
              <w:right w:val="single" w:sz="6" w:space="0" w:color="7F7F7F"/>
            </w:tcBorders>
            <w:shd w:val="clear" w:color="auto" w:fill="auto"/>
            <w:tcMar>
              <w:top w:w="29" w:type="dxa"/>
              <w:left w:w="58" w:type="dxa"/>
              <w:bottom w:w="29" w:type="dxa"/>
              <w:right w:w="29" w:type="dxa"/>
            </w:tcMar>
            <w:vAlign w:val="center"/>
          </w:tcPr>
          <w:p w14:paraId="1F62B415" w14:textId="5ADC7C50" w:rsidR="00681C49" w:rsidRPr="00D74395" w:rsidRDefault="00681C49" w:rsidP="005173CB">
            <w:pPr>
              <w:spacing w:after="0" w:line="240" w:lineRule="auto"/>
              <w:jc w:val="center"/>
              <w:rPr>
                <w:rFonts w:ascii="Avenir Next LT Pro" w:eastAsia="Times New Roman" w:hAnsi="Avenir Next LT Pro"/>
                <w:color w:val="FF33CC"/>
                <w:kern w:val="0"/>
                <w:sz w:val="16"/>
                <w:szCs w:val="16"/>
                <w14:ligatures w14:val="none"/>
              </w:rPr>
            </w:pPr>
          </w:p>
        </w:tc>
      </w:tr>
      <w:tr w:rsidR="00681C49" w:rsidRPr="00681C49" w14:paraId="25C84034" w14:textId="77777777" w:rsidTr="00681C49">
        <w:tc>
          <w:tcPr>
            <w:tcW w:w="1072" w:type="dxa"/>
            <w:vMerge/>
            <w:tcBorders>
              <w:top w:val="single" w:sz="6" w:space="0" w:color="7F7F7F"/>
              <w:left w:val="single" w:sz="6" w:space="0" w:color="7F7F7F"/>
              <w:bottom w:val="single" w:sz="6" w:space="0" w:color="7F7F7F"/>
              <w:right w:val="single" w:sz="8" w:space="0" w:color="959BA3"/>
            </w:tcBorders>
            <w:vAlign w:val="center"/>
            <w:hideMark/>
          </w:tcPr>
          <w:p w14:paraId="1C09C85A"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410" w:type="dxa"/>
            <w:tcBorders>
              <w:top w:val="single" w:sz="6" w:space="0" w:color="7F7F7F"/>
              <w:left w:val="single" w:sz="8" w:space="0" w:color="959BA3"/>
              <w:bottom w:val="single" w:sz="6" w:space="0" w:color="7F7F7F"/>
              <w:right w:val="single" w:sz="6" w:space="0" w:color="7F7F7F"/>
            </w:tcBorders>
            <w:shd w:val="clear" w:color="auto" w:fill="auto"/>
            <w:tcMar>
              <w:top w:w="29" w:type="dxa"/>
              <w:left w:w="58" w:type="dxa"/>
              <w:bottom w:w="29" w:type="dxa"/>
              <w:right w:w="29" w:type="dxa"/>
            </w:tcMar>
            <w:hideMark/>
          </w:tcPr>
          <w:p w14:paraId="3E57D699"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i/>
                <w:color w:val="131314"/>
                <w:kern w:val="24"/>
                <w:sz w:val="16"/>
                <w:szCs w:val="16"/>
                <w14:ligatures w14:val="none"/>
              </w:rPr>
              <w:t>Ex. Dosage Form</w:t>
            </w:r>
          </w:p>
        </w:tc>
        <w:tc>
          <w:tcPr>
            <w:tcW w:w="2845" w:type="dxa"/>
            <w:vMerge/>
            <w:tcBorders>
              <w:left w:val="single" w:sz="6" w:space="0" w:color="7F7F7F"/>
              <w:right w:val="single" w:sz="6" w:space="0" w:color="7F7F7F"/>
            </w:tcBorders>
            <w:shd w:val="clear" w:color="auto" w:fill="auto"/>
            <w:tcMar>
              <w:top w:w="29" w:type="dxa"/>
              <w:left w:w="58" w:type="dxa"/>
              <w:bottom w:w="29" w:type="dxa"/>
              <w:right w:w="29" w:type="dxa"/>
            </w:tcMar>
          </w:tcPr>
          <w:p w14:paraId="4AD0845F"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vMerge/>
            <w:tcBorders>
              <w:left w:val="single" w:sz="6" w:space="0" w:color="7F7F7F"/>
              <w:right w:val="single" w:sz="6" w:space="0" w:color="7F7F7F"/>
            </w:tcBorders>
            <w:shd w:val="clear" w:color="auto" w:fill="auto"/>
            <w:tcMar>
              <w:top w:w="29" w:type="dxa"/>
              <w:left w:w="58" w:type="dxa"/>
              <w:bottom w:w="29" w:type="dxa"/>
              <w:right w:w="29" w:type="dxa"/>
            </w:tcMar>
          </w:tcPr>
          <w:p w14:paraId="3C7313B8" w14:textId="77777777" w:rsidR="00681C49" w:rsidRPr="00D74395" w:rsidRDefault="00681C49" w:rsidP="005173CB">
            <w:pPr>
              <w:spacing w:after="0" w:line="240" w:lineRule="auto"/>
              <w:rPr>
                <w:rFonts w:ascii="Avenir Next LT Pro" w:eastAsia="Times New Roman" w:hAnsi="Avenir Next LT Pro"/>
                <w:kern w:val="0"/>
                <w:sz w:val="16"/>
                <w:szCs w:val="16"/>
                <w14:ligatures w14:val="none"/>
              </w:rPr>
            </w:pPr>
          </w:p>
        </w:tc>
      </w:tr>
      <w:tr w:rsidR="00681C49" w:rsidRPr="00681C49" w14:paraId="3D5BFE58" w14:textId="77777777" w:rsidTr="00681C49">
        <w:tc>
          <w:tcPr>
            <w:tcW w:w="1072" w:type="dxa"/>
            <w:vMerge/>
            <w:tcBorders>
              <w:top w:val="single" w:sz="6" w:space="0" w:color="7F7F7F"/>
              <w:left w:val="single" w:sz="6" w:space="0" w:color="7F7F7F"/>
              <w:bottom w:val="single" w:sz="6" w:space="0" w:color="7F7F7F"/>
              <w:right w:val="single" w:sz="8" w:space="0" w:color="959BA3"/>
            </w:tcBorders>
            <w:vAlign w:val="center"/>
            <w:hideMark/>
          </w:tcPr>
          <w:p w14:paraId="0E53D3E0"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410" w:type="dxa"/>
            <w:tcBorders>
              <w:top w:val="single" w:sz="6" w:space="0" w:color="7F7F7F"/>
              <w:left w:val="single" w:sz="8" w:space="0" w:color="959BA3"/>
              <w:bottom w:val="single" w:sz="6" w:space="0" w:color="7F7F7F"/>
              <w:right w:val="single" w:sz="6" w:space="0" w:color="7F7F7F"/>
            </w:tcBorders>
            <w:shd w:val="clear" w:color="auto" w:fill="auto"/>
            <w:tcMar>
              <w:top w:w="29" w:type="dxa"/>
              <w:left w:w="58" w:type="dxa"/>
              <w:bottom w:w="29" w:type="dxa"/>
              <w:right w:w="29" w:type="dxa"/>
            </w:tcMar>
            <w:hideMark/>
          </w:tcPr>
          <w:p w14:paraId="40F3E8B4"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i/>
                <w:color w:val="131314"/>
                <w:kern w:val="24"/>
                <w:sz w:val="16"/>
                <w:szCs w:val="16"/>
                <w14:ligatures w14:val="none"/>
              </w:rPr>
              <w:t>Etc.</w:t>
            </w:r>
          </w:p>
        </w:tc>
        <w:tc>
          <w:tcPr>
            <w:tcW w:w="2845" w:type="dxa"/>
            <w:vMerge/>
            <w:tcBorders>
              <w:left w:val="single" w:sz="6" w:space="0" w:color="7F7F7F"/>
              <w:bottom w:val="single" w:sz="6" w:space="0" w:color="7F7F7F"/>
              <w:right w:val="single" w:sz="6" w:space="0" w:color="7F7F7F"/>
            </w:tcBorders>
            <w:shd w:val="clear" w:color="auto" w:fill="auto"/>
            <w:tcMar>
              <w:top w:w="29" w:type="dxa"/>
              <w:left w:w="58" w:type="dxa"/>
              <w:bottom w:w="29" w:type="dxa"/>
              <w:right w:w="29" w:type="dxa"/>
            </w:tcMar>
          </w:tcPr>
          <w:p w14:paraId="6833214C"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vMerge/>
            <w:tcBorders>
              <w:left w:val="single" w:sz="6" w:space="0" w:color="7F7F7F"/>
              <w:bottom w:val="single" w:sz="6" w:space="0" w:color="7F7F7F"/>
              <w:right w:val="single" w:sz="6" w:space="0" w:color="7F7F7F"/>
            </w:tcBorders>
            <w:shd w:val="clear" w:color="auto" w:fill="auto"/>
            <w:tcMar>
              <w:top w:w="29" w:type="dxa"/>
              <w:left w:w="58" w:type="dxa"/>
              <w:bottom w:w="29" w:type="dxa"/>
              <w:right w:w="29" w:type="dxa"/>
            </w:tcMar>
          </w:tcPr>
          <w:p w14:paraId="0C914DA2" w14:textId="77777777" w:rsidR="00681C49" w:rsidRPr="00D74395" w:rsidRDefault="00681C49" w:rsidP="005173CB">
            <w:pPr>
              <w:spacing w:after="0" w:line="240" w:lineRule="auto"/>
              <w:rPr>
                <w:rFonts w:ascii="Avenir Next LT Pro" w:eastAsia="Times New Roman" w:hAnsi="Avenir Next LT Pro"/>
                <w:kern w:val="0"/>
                <w:sz w:val="16"/>
                <w:szCs w:val="16"/>
                <w14:ligatures w14:val="none"/>
              </w:rPr>
            </w:pPr>
          </w:p>
        </w:tc>
      </w:tr>
      <w:tr w:rsidR="00681C49" w:rsidRPr="00681C49" w14:paraId="3C48868E" w14:textId="77777777" w:rsidTr="00681C49">
        <w:tc>
          <w:tcPr>
            <w:tcW w:w="1072" w:type="dxa"/>
            <w:vMerge w:val="restart"/>
            <w:tcBorders>
              <w:top w:val="single" w:sz="6" w:space="0" w:color="7F7F7F"/>
              <w:left w:val="single" w:sz="6" w:space="0" w:color="7F7F7F"/>
              <w:bottom w:val="single" w:sz="6" w:space="0" w:color="7F7F7F"/>
              <w:right w:val="single" w:sz="8" w:space="0" w:color="959BA3"/>
            </w:tcBorders>
            <w:shd w:val="clear" w:color="auto" w:fill="auto"/>
            <w:tcMar>
              <w:top w:w="29" w:type="dxa"/>
              <w:left w:w="58" w:type="dxa"/>
              <w:bottom w:w="29" w:type="dxa"/>
              <w:right w:w="29" w:type="dxa"/>
            </w:tcMar>
            <w:textDirection w:val="btLr"/>
            <w:hideMark/>
          </w:tcPr>
          <w:p w14:paraId="0D393C2E" w14:textId="77777777" w:rsidR="00681C49" w:rsidRPr="00D74395" w:rsidRDefault="00681C49" w:rsidP="005173CB">
            <w:pPr>
              <w:spacing w:after="0" w:line="240" w:lineRule="auto"/>
              <w:jc w:val="center"/>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Affordability and Accessibility</w:t>
            </w:r>
          </w:p>
        </w:tc>
        <w:tc>
          <w:tcPr>
            <w:tcW w:w="2410" w:type="dxa"/>
            <w:tcBorders>
              <w:top w:val="single" w:sz="6" w:space="0" w:color="7F7F7F"/>
              <w:left w:val="single" w:sz="8" w:space="0" w:color="959BA3"/>
              <w:bottom w:val="single" w:sz="6" w:space="0" w:color="7F7F7F"/>
              <w:right w:val="single" w:sz="6" w:space="0" w:color="7F7F7F"/>
            </w:tcBorders>
            <w:shd w:val="clear" w:color="auto" w:fill="auto"/>
            <w:tcMar>
              <w:top w:w="29" w:type="dxa"/>
              <w:left w:w="58" w:type="dxa"/>
              <w:bottom w:w="29" w:type="dxa"/>
              <w:right w:w="29" w:type="dxa"/>
            </w:tcMar>
            <w:hideMark/>
          </w:tcPr>
          <w:p w14:paraId="67C66BC1"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Regimen</w:t>
            </w: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tcPr>
          <w:p w14:paraId="6710623A" w14:textId="4C3A2BBE"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tcPr>
          <w:p w14:paraId="619C17C3" w14:textId="43B9DC03"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r>
      <w:tr w:rsidR="00681C49" w:rsidRPr="00681C49" w14:paraId="7BD80C1A" w14:textId="77777777" w:rsidTr="00681C49">
        <w:tc>
          <w:tcPr>
            <w:tcW w:w="1072" w:type="dxa"/>
            <w:vMerge/>
            <w:tcBorders>
              <w:top w:val="single" w:sz="6" w:space="0" w:color="7F7F7F"/>
              <w:left w:val="single" w:sz="6" w:space="0" w:color="7F7F7F"/>
              <w:bottom w:val="single" w:sz="6" w:space="0" w:color="7F7F7F"/>
              <w:right w:val="single" w:sz="8" w:space="0" w:color="959BA3"/>
            </w:tcBorders>
            <w:vAlign w:val="center"/>
            <w:hideMark/>
          </w:tcPr>
          <w:p w14:paraId="455ED2F2"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410" w:type="dxa"/>
            <w:tcBorders>
              <w:top w:val="single" w:sz="6" w:space="0" w:color="7F7F7F"/>
              <w:left w:val="single" w:sz="8" w:space="0" w:color="959BA3"/>
              <w:bottom w:val="single" w:sz="6" w:space="0" w:color="7F7F7F"/>
              <w:right w:val="single" w:sz="6" w:space="0" w:color="7F7F7F"/>
            </w:tcBorders>
            <w:shd w:val="clear" w:color="auto" w:fill="auto"/>
            <w:tcMar>
              <w:top w:w="29" w:type="dxa"/>
              <w:left w:w="58" w:type="dxa"/>
              <w:bottom w:w="29" w:type="dxa"/>
              <w:right w:w="29" w:type="dxa"/>
            </w:tcMar>
            <w:hideMark/>
          </w:tcPr>
          <w:p w14:paraId="61CF7430"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Drug Cost (to patient)</w:t>
            </w: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tcPr>
          <w:p w14:paraId="6EA95351" w14:textId="09AE0983"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tcPr>
          <w:p w14:paraId="70EE2A42" w14:textId="4A430F48"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r>
      <w:tr w:rsidR="00681C49" w:rsidRPr="00681C49" w14:paraId="00AF49BA" w14:textId="77777777" w:rsidTr="00681C49">
        <w:tc>
          <w:tcPr>
            <w:tcW w:w="1072" w:type="dxa"/>
            <w:vMerge/>
            <w:tcBorders>
              <w:top w:val="single" w:sz="6" w:space="0" w:color="7F7F7F"/>
              <w:left w:val="single" w:sz="6" w:space="0" w:color="7F7F7F"/>
              <w:bottom w:val="single" w:sz="6" w:space="0" w:color="7F7F7F"/>
              <w:right w:val="single" w:sz="8" w:space="0" w:color="959BA3"/>
            </w:tcBorders>
            <w:vAlign w:val="center"/>
            <w:hideMark/>
          </w:tcPr>
          <w:p w14:paraId="2A553177"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410" w:type="dxa"/>
            <w:tcBorders>
              <w:top w:val="single" w:sz="6" w:space="0" w:color="7F7F7F"/>
              <w:left w:val="single" w:sz="8" w:space="0" w:color="959BA3"/>
              <w:bottom w:val="single" w:sz="6" w:space="0" w:color="7F7F7F"/>
              <w:right w:val="single" w:sz="6" w:space="0" w:color="7F7F7F"/>
            </w:tcBorders>
            <w:shd w:val="clear" w:color="auto" w:fill="auto"/>
            <w:tcMar>
              <w:top w:w="29" w:type="dxa"/>
              <w:left w:w="58" w:type="dxa"/>
              <w:bottom w:w="29" w:type="dxa"/>
              <w:right w:w="29" w:type="dxa"/>
            </w:tcMar>
            <w:hideMark/>
          </w:tcPr>
          <w:p w14:paraId="21576AFD" w14:textId="77777777"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r w:rsidRPr="00D74395">
              <w:rPr>
                <w:rFonts w:ascii="Avenir Next LT Pro" w:eastAsia="Times New Roman" w:hAnsi="Avenir Next LT Pro" w:cs="Arial"/>
                <w:color w:val="131314"/>
                <w:kern w:val="24"/>
                <w:sz w:val="16"/>
                <w:szCs w:val="16"/>
                <w14:ligatures w14:val="none"/>
              </w:rPr>
              <w:t>Stability</w:t>
            </w: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tcPr>
          <w:p w14:paraId="31B02DB3" w14:textId="103D69C6"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c>
          <w:tcPr>
            <w:tcW w:w="2845"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tcPr>
          <w:p w14:paraId="4ED5F1EF" w14:textId="74AF9D96" w:rsidR="00681C49" w:rsidRPr="00D74395" w:rsidRDefault="00681C49" w:rsidP="005173CB">
            <w:pPr>
              <w:spacing w:after="0" w:line="240" w:lineRule="auto"/>
              <w:rPr>
                <w:rFonts w:ascii="Avenir Next LT Pro" w:eastAsia="Times New Roman" w:hAnsi="Avenir Next LT Pro" w:cs="Arial"/>
                <w:kern w:val="0"/>
                <w:sz w:val="16"/>
                <w:szCs w:val="16"/>
                <w14:ligatures w14:val="none"/>
              </w:rPr>
            </w:pPr>
          </w:p>
        </w:tc>
      </w:tr>
    </w:tbl>
    <w:p w14:paraId="2C1F52C2" w14:textId="77777777" w:rsidR="001E1CA9" w:rsidRDefault="001E1CA9" w:rsidP="00681C49">
      <w:pPr>
        <w:pStyle w:val="NormalWeb"/>
        <w:spacing w:before="0" w:beforeAutospacing="0" w:after="0" w:afterAutospacing="0"/>
        <w:rPr>
          <w:rFonts w:ascii="Avenir Next LT Pro" w:eastAsia="+mn-ea" w:hAnsi="Avenir Next LT Pro" w:cs="+mn-cs"/>
          <w:kern w:val="24"/>
          <w:sz w:val="16"/>
          <w:szCs w:val="16"/>
        </w:rPr>
      </w:pPr>
    </w:p>
    <w:p w14:paraId="5FAC0743" w14:textId="3B183E6B" w:rsidR="00681C49" w:rsidRPr="00195C14" w:rsidRDefault="00681C49" w:rsidP="00681C49">
      <w:pPr>
        <w:pStyle w:val="NormalWeb"/>
        <w:spacing w:before="0" w:beforeAutospacing="0" w:after="0" w:afterAutospacing="0"/>
        <w:rPr>
          <w:rFonts w:ascii="Avenir Next LT Pro" w:hAnsi="Avenir Next LT Pro"/>
          <w:sz w:val="18"/>
          <w:szCs w:val="18"/>
        </w:rPr>
      </w:pPr>
      <w:r w:rsidRPr="00195C14">
        <w:rPr>
          <w:rFonts w:ascii="Avenir Next LT Pro" w:eastAsia="+mn-ea" w:hAnsi="Avenir Next LT Pro" w:cs="+mn-cs"/>
          <w:kern w:val="24"/>
          <w:sz w:val="18"/>
          <w:szCs w:val="18"/>
        </w:rPr>
        <w:t>Steps Required:</w:t>
      </w:r>
    </w:p>
    <w:p w14:paraId="659F7300" w14:textId="77777777" w:rsidR="00681C49" w:rsidRPr="00195C14" w:rsidRDefault="00681C49" w:rsidP="00681C49">
      <w:pPr>
        <w:pStyle w:val="NormalWeb"/>
        <w:numPr>
          <w:ilvl w:val="0"/>
          <w:numId w:val="2"/>
        </w:numPr>
        <w:spacing w:before="0" w:beforeAutospacing="0" w:after="0" w:afterAutospacing="0"/>
        <w:rPr>
          <w:rFonts w:ascii="Avenir Next LT Pro" w:eastAsia="+mn-ea" w:hAnsi="Avenir Next LT Pro" w:cs="+mn-cs"/>
          <w:kern w:val="24"/>
          <w:sz w:val="18"/>
          <w:szCs w:val="18"/>
        </w:rPr>
      </w:pPr>
      <w:r w:rsidRPr="00195C14">
        <w:rPr>
          <w:rFonts w:ascii="Avenir Next LT Pro" w:eastAsia="+mn-ea" w:hAnsi="Avenir Next LT Pro" w:cs="+mn-cs"/>
          <w:kern w:val="24"/>
          <w:sz w:val="18"/>
          <w:szCs w:val="18"/>
        </w:rPr>
        <w:t xml:space="preserve">Define the </w:t>
      </w:r>
      <w:r w:rsidRPr="00195C14">
        <w:rPr>
          <w:rFonts w:ascii="Avenir Next LT Pro" w:eastAsia="+mn-ea" w:hAnsi="Avenir Next LT Pro" w:cs="+mn-cs"/>
          <w:i/>
          <w:iCs/>
          <w:kern w:val="24"/>
          <w:sz w:val="18"/>
          <w:szCs w:val="18"/>
          <w:u w:val="single"/>
        </w:rPr>
        <w:t>healthy</w:t>
      </w:r>
      <w:r w:rsidRPr="00195C14">
        <w:rPr>
          <w:rFonts w:ascii="Avenir Next LT Pro" w:eastAsia="+mn-ea" w:hAnsi="Avenir Next LT Pro" w:cs="+mn-cs"/>
          <w:i/>
          <w:iCs/>
          <w:kern w:val="24"/>
          <w:sz w:val="18"/>
          <w:szCs w:val="18"/>
        </w:rPr>
        <w:t xml:space="preserve"> or </w:t>
      </w:r>
      <w:r w:rsidRPr="00195C14">
        <w:rPr>
          <w:rFonts w:ascii="Avenir Next LT Pro" w:eastAsia="+mn-ea" w:hAnsi="Avenir Next LT Pro" w:cs="+mn-cs"/>
          <w:i/>
          <w:iCs/>
          <w:kern w:val="24"/>
          <w:sz w:val="18"/>
          <w:szCs w:val="18"/>
          <w:u w:val="single"/>
        </w:rPr>
        <w:t>therapeutic</w:t>
      </w:r>
      <w:r w:rsidRPr="00195C14">
        <w:rPr>
          <w:rFonts w:ascii="Avenir Next LT Pro" w:eastAsia="+mn-ea" w:hAnsi="Avenir Next LT Pro" w:cs="+mn-cs"/>
          <w:i/>
          <w:iCs/>
          <w:kern w:val="24"/>
          <w:sz w:val="18"/>
          <w:szCs w:val="18"/>
        </w:rPr>
        <w:t xml:space="preserve"> range</w:t>
      </w:r>
      <w:r w:rsidRPr="00195C14">
        <w:rPr>
          <w:rFonts w:ascii="Avenir Next LT Pro" w:eastAsia="+mn-ea" w:hAnsi="Avenir Next LT Pro" w:cs="+mn-cs"/>
          <w:kern w:val="24"/>
          <w:sz w:val="18"/>
          <w:szCs w:val="18"/>
        </w:rPr>
        <w:t xml:space="preserve"> of ≥2 lymphatic functions in their indication and propose to restore function to that target range.</w:t>
      </w:r>
    </w:p>
    <w:p w14:paraId="310BAE41" w14:textId="77777777" w:rsidR="00681C49" w:rsidRPr="00195C14" w:rsidRDefault="00681C49" w:rsidP="00681C49">
      <w:pPr>
        <w:pStyle w:val="NormalWeb"/>
        <w:numPr>
          <w:ilvl w:val="0"/>
          <w:numId w:val="2"/>
        </w:numPr>
        <w:spacing w:before="0" w:beforeAutospacing="0" w:after="0" w:afterAutospacing="0"/>
        <w:rPr>
          <w:rFonts w:ascii="Avenir Next LT Pro" w:eastAsia="+mn-ea" w:hAnsi="Avenir Next LT Pro" w:cs="+mn-cs"/>
          <w:kern w:val="24"/>
          <w:sz w:val="18"/>
          <w:szCs w:val="18"/>
        </w:rPr>
      </w:pPr>
      <w:r w:rsidRPr="00195C14">
        <w:rPr>
          <w:rFonts w:ascii="Avenir Next LT Pro" w:eastAsia="+mn-ea" w:hAnsi="Avenir Next LT Pro" w:cs="+mn-cs"/>
          <w:sz w:val="18"/>
          <w:szCs w:val="18"/>
        </w:rPr>
        <w:t>I</w:t>
      </w:r>
      <w:r w:rsidRPr="00195C14">
        <w:rPr>
          <w:rFonts w:ascii="Avenir Next LT Pro" w:eastAsia="+mn-ea" w:hAnsi="Avenir Next LT Pro" w:cs="+mn-cs"/>
          <w:kern w:val="24"/>
          <w:sz w:val="18"/>
          <w:szCs w:val="18"/>
        </w:rPr>
        <w:t xml:space="preserve">nclude additional </w:t>
      </w:r>
      <w:r w:rsidRPr="00195C14">
        <w:rPr>
          <w:rFonts w:ascii="Avenir Next LT Pro" w:eastAsia="+mn-ea" w:hAnsi="Avenir Next LT Pro" w:cs="+mn-cs"/>
          <w:i/>
          <w:iCs/>
          <w:kern w:val="24"/>
          <w:sz w:val="18"/>
          <w:szCs w:val="18"/>
          <w:u w:val="single"/>
        </w:rPr>
        <w:t xml:space="preserve">minimal and ideal results </w:t>
      </w:r>
      <w:r w:rsidRPr="00195C14">
        <w:rPr>
          <w:rFonts w:ascii="Avenir Next LT Pro" w:eastAsia="+mn-ea" w:hAnsi="Avenir Next LT Pro" w:cs="+mn-cs"/>
          <w:kern w:val="24"/>
          <w:sz w:val="18"/>
          <w:szCs w:val="18"/>
        </w:rPr>
        <w:t xml:space="preserve">specific to the claim and indication of use for the targeted disease. </w:t>
      </w:r>
      <w:r w:rsidRPr="00195C14">
        <w:rPr>
          <w:rFonts w:ascii="Avenir Next LT Pro" w:eastAsia="+mn-ea" w:hAnsi="Avenir Next LT Pro" w:cs="+mn-cs"/>
          <w:i/>
          <w:iCs/>
          <w:kern w:val="24"/>
          <w:sz w:val="18"/>
          <w:szCs w:val="18"/>
        </w:rPr>
        <w:t>Listed examples are not requirements or formal suggestions.</w:t>
      </w:r>
    </w:p>
    <w:p w14:paraId="4849C073" w14:textId="77777777" w:rsidR="008639B3" w:rsidRDefault="008639B3">
      <w:pPr>
        <w:rPr>
          <w:rFonts w:ascii="Avenir Next LT Pro" w:hAnsi="Avenir Next LT Pro"/>
          <w:sz w:val="16"/>
          <w:szCs w:val="16"/>
        </w:rPr>
      </w:pPr>
    </w:p>
    <w:p w14:paraId="5FE0AB31" w14:textId="77777777" w:rsidR="008639B3" w:rsidRDefault="008639B3">
      <w:pPr>
        <w:rPr>
          <w:rFonts w:ascii="Avenir Next LT Pro" w:hAnsi="Avenir Next LT Pro"/>
          <w:sz w:val="16"/>
          <w:szCs w:val="16"/>
        </w:rPr>
      </w:pPr>
    </w:p>
    <w:p w14:paraId="2CB3E640" w14:textId="77777777" w:rsidR="008639B3" w:rsidRDefault="008639B3">
      <w:pPr>
        <w:rPr>
          <w:rFonts w:ascii="Avenir Next LT Pro" w:hAnsi="Avenir Next LT Pro"/>
          <w:sz w:val="16"/>
          <w:szCs w:val="16"/>
        </w:rPr>
      </w:pPr>
    </w:p>
    <w:p w14:paraId="48534653" w14:textId="77777777" w:rsidR="008639B3" w:rsidRDefault="008639B3">
      <w:pPr>
        <w:rPr>
          <w:rFonts w:ascii="Avenir Next LT Pro" w:hAnsi="Avenir Next LT Pro"/>
          <w:sz w:val="16"/>
          <w:szCs w:val="16"/>
        </w:rPr>
      </w:pPr>
    </w:p>
    <w:p w14:paraId="32315DFB" w14:textId="77777777" w:rsidR="008639B3" w:rsidRDefault="008639B3">
      <w:pPr>
        <w:rPr>
          <w:rFonts w:ascii="Avenir Next LT Pro" w:hAnsi="Avenir Next LT Pro"/>
          <w:sz w:val="16"/>
          <w:szCs w:val="16"/>
        </w:rPr>
      </w:pPr>
    </w:p>
    <w:p w14:paraId="3697C1F1" w14:textId="77777777" w:rsidR="008639B3" w:rsidRDefault="008639B3">
      <w:pPr>
        <w:rPr>
          <w:rFonts w:ascii="Avenir Next LT Pro" w:hAnsi="Avenir Next LT Pro"/>
          <w:sz w:val="16"/>
          <w:szCs w:val="16"/>
        </w:rPr>
      </w:pPr>
    </w:p>
    <w:p w14:paraId="228FBBE7" w14:textId="77777777" w:rsidR="008639B3" w:rsidRDefault="008639B3">
      <w:pPr>
        <w:rPr>
          <w:rFonts w:ascii="Avenir Next LT Pro" w:hAnsi="Avenir Next LT Pro"/>
          <w:sz w:val="16"/>
          <w:szCs w:val="16"/>
        </w:rPr>
      </w:pPr>
    </w:p>
    <w:p w14:paraId="71E04FDD" w14:textId="77777777" w:rsidR="008639B3" w:rsidRDefault="008639B3">
      <w:pPr>
        <w:rPr>
          <w:rFonts w:ascii="Avenir Next LT Pro" w:hAnsi="Avenir Next LT Pro"/>
          <w:sz w:val="16"/>
          <w:szCs w:val="16"/>
        </w:rPr>
      </w:pPr>
      <w:r>
        <w:rPr>
          <w:rFonts w:ascii="Avenir Next LT Pro" w:hAnsi="Avenir Next LT Pro"/>
          <w:sz w:val="16"/>
          <w:szCs w:val="16"/>
        </w:rPr>
        <w:br w:type="page"/>
      </w:r>
    </w:p>
    <w:p w14:paraId="0D895FF1" w14:textId="77777777" w:rsidR="00832356" w:rsidRDefault="00832356">
      <w:pPr>
        <w:rPr>
          <w:rFonts w:ascii="Avenir Next LT Pro" w:hAnsi="Avenir Next LT Pro"/>
          <w:b/>
          <w:bCs/>
        </w:rPr>
      </w:pPr>
      <w:r w:rsidRPr="00832356">
        <w:rPr>
          <w:rFonts w:ascii="Avenir Next LT Pro" w:hAnsi="Avenir Next LT Pro"/>
          <w:b/>
          <w:bCs/>
        </w:rPr>
        <w:lastRenderedPageBreak/>
        <w:t xml:space="preserve">TA1 Target Product Profile (TPP): Example - Breast Cancer Related Lymphedema  </w:t>
      </w:r>
    </w:p>
    <w:p w14:paraId="7D6C0379" w14:textId="50F44376" w:rsidR="00DA268C" w:rsidRPr="00E36798" w:rsidRDefault="00E94EE3">
      <w:pPr>
        <w:rPr>
          <w:rFonts w:ascii="Avenir Next LT Pro" w:hAnsi="Avenir Next LT Pro"/>
          <w:sz w:val="18"/>
          <w:szCs w:val="18"/>
        </w:rPr>
      </w:pPr>
      <w:r w:rsidRPr="00E94EE3">
        <w:rPr>
          <w:rFonts w:ascii="Avenir Next LT Pro" w:hAnsi="Avenir Next LT Pro"/>
          <w:sz w:val="18"/>
          <w:szCs w:val="18"/>
        </w:rPr>
        <w:t>The example TPP, below, is meant to provide general guidance on how performers may complete a TPP for a specific disease indication. The specific targets outlined and the efficacy metrics in this example are not requirements or formal suggestions. Performers should tailor the TPP to their specific technology.</w:t>
      </w:r>
    </w:p>
    <w:tbl>
      <w:tblPr>
        <w:tblW w:w="5000" w:type="pct"/>
        <w:tblCellMar>
          <w:left w:w="0" w:type="dxa"/>
          <w:right w:w="0" w:type="dxa"/>
        </w:tblCellMar>
        <w:tblLook w:val="0420" w:firstRow="1" w:lastRow="0" w:firstColumn="0" w:lastColumn="0" w:noHBand="0" w:noVBand="1"/>
      </w:tblPr>
      <w:tblGrid>
        <w:gridCol w:w="802"/>
        <w:gridCol w:w="1927"/>
        <w:gridCol w:w="3326"/>
        <w:gridCol w:w="3289"/>
      </w:tblGrid>
      <w:tr w:rsidR="0002597B" w:rsidRPr="0002597B" w14:paraId="0C76099B" w14:textId="77777777" w:rsidTr="00AB6DA2">
        <w:tc>
          <w:tcPr>
            <w:tcW w:w="1460" w:type="pct"/>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3F075FAE"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Product description/Therapeutic Modality</w:t>
            </w:r>
          </w:p>
        </w:tc>
        <w:tc>
          <w:tcPr>
            <w:tcW w:w="3540" w:type="pct"/>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18EE63C4"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Novel implantable medical device</w:t>
            </w:r>
          </w:p>
        </w:tc>
      </w:tr>
      <w:tr w:rsidR="0002597B" w:rsidRPr="0002597B" w14:paraId="20B66076" w14:textId="77777777" w:rsidTr="00AB6DA2">
        <w:tc>
          <w:tcPr>
            <w:tcW w:w="1460" w:type="pct"/>
            <w:gridSpan w:val="2"/>
            <w:tcBorders>
              <w:top w:val="single" w:sz="6" w:space="0" w:color="7F7F7F"/>
              <w:left w:val="single" w:sz="6" w:space="0" w:color="7F7F7F"/>
              <w:bottom w:val="single" w:sz="6" w:space="0" w:color="7F7F7F"/>
              <w:right w:val="single" w:sz="6" w:space="0" w:color="7F7F7F"/>
            </w:tcBorders>
            <w:shd w:val="clear" w:color="auto" w:fill="D2CDF3"/>
            <w:tcMar>
              <w:top w:w="29" w:type="dxa"/>
              <w:left w:w="58" w:type="dxa"/>
              <w:bottom w:w="29" w:type="dxa"/>
              <w:right w:w="29" w:type="dxa"/>
            </w:tcMar>
            <w:hideMark/>
          </w:tcPr>
          <w:p w14:paraId="275B4A04"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b/>
                <w:bCs/>
                <w:color w:val="131314"/>
                <w:kern w:val="24"/>
                <w:sz w:val="17"/>
                <w:szCs w:val="17"/>
              </w:rPr>
              <w:t>Product Target</w:t>
            </w:r>
          </w:p>
        </w:tc>
        <w:tc>
          <w:tcPr>
            <w:tcW w:w="1780" w:type="pct"/>
            <w:tcBorders>
              <w:top w:val="single" w:sz="6" w:space="0" w:color="7F7F7F"/>
              <w:left w:val="single" w:sz="6" w:space="0" w:color="7F7F7F"/>
              <w:bottom w:val="single" w:sz="6" w:space="0" w:color="7F7F7F"/>
              <w:right w:val="single" w:sz="6" w:space="0" w:color="7F7F7F"/>
            </w:tcBorders>
            <w:shd w:val="clear" w:color="auto" w:fill="D2CDF3"/>
            <w:tcMar>
              <w:top w:w="29" w:type="dxa"/>
              <w:left w:w="58" w:type="dxa"/>
              <w:bottom w:w="29" w:type="dxa"/>
              <w:right w:w="29" w:type="dxa"/>
            </w:tcMar>
            <w:hideMark/>
          </w:tcPr>
          <w:p w14:paraId="74333299"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b/>
                <w:bCs/>
                <w:color w:val="131314"/>
                <w:kern w:val="24"/>
                <w:sz w:val="17"/>
                <w:szCs w:val="17"/>
              </w:rPr>
              <w:t>Minimal Acceptable Results</w:t>
            </w:r>
          </w:p>
        </w:tc>
        <w:tc>
          <w:tcPr>
            <w:tcW w:w="1760" w:type="pct"/>
            <w:tcBorders>
              <w:top w:val="single" w:sz="6" w:space="0" w:color="7F7F7F"/>
              <w:left w:val="single" w:sz="6" w:space="0" w:color="7F7F7F"/>
              <w:bottom w:val="single" w:sz="6" w:space="0" w:color="7F7F7F"/>
              <w:right w:val="single" w:sz="6" w:space="0" w:color="7F7F7F"/>
            </w:tcBorders>
            <w:shd w:val="clear" w:color="auto" w:fill="D2CDF3"/>
            <w:tcMar>
              <w:top w:w="29" w:type="dxa"/>
              <w:left w:w="58" w:type="dxa"/>
              <w:bottom w:w="29" w:type="dxa"/>
              <w:right w:w="29" w:type="dxa"/>
            </w:tcMar>
            <w:hideMark/>
          </w:tcPr>
          <w:p w14:paraId="6B290BCB"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b/>
                <w:bCs/>
                <w:color w:val="131314"/>
                <w:kern w:val="24"/>
                <w:sz w:val="17"/>
                <w:szCs w:val="17"/>
              </w:rPr>
              <w:t>Optimal Results</w:t>
            </w:r>
          </w:p>
        </w:tc>
      </w:tr>
      <w:tr w:rsidR="0002597B" w:rsidRPr="0002597B" w14:paraId="3D7FECB4" w14:textId="77777777" w:rsidTr="00AB6DA2">
        <w:tc>
          <w:tcPr>
            <w:tcW w:w="1460" w:type="pct"/>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0F9F5022"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Primary Product Indication</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6DD1E3D8"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000000"/>
                <w:kern w:val="24"/>
                <w:sz w:val="17"/>
                <w:szCs w:val="17"/>
              </w:rPr>
              <w:t xml:space="preserve">Mitigate the volume of a swollen limb by one clinical stage in BCRL. </w:t>
            </w: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281EB7DA"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000000"/>
                <w:kern w:val="24"/>
                <w:sz w:val="17"/>
                <w:szCs w:val="17"/>
              </w:rPr>
              <w:t>Complete curative therapy for BCRL.</w:t>
            </w:r>
          </w:p>
        </w:tc>
      </w:tr>
      <w:tr w:rsidR="0002597B" w:rsidRPr="0002597B" w14:paraId="0561C7B8" w14:textId="77777777" w:rsidTr="00AB6DA2">
        <w:tc>
          <w:tcPr>
            <w:tcW w:w="1460" w:type="pct"/>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6FA88C4E"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Patient Population</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301B8127"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000000"/>
                <w:kern w:val="24"/>
                <w:sz w:val="17"/>
                <w:szCs w:val="17"/>
              </w:rPr>
              <w:t>All patients with breast cancer related lymphedema (BCRL)</w:t>
            </w: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2A366F8A"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000000"/>
                <w:kern w:val="24"/>
                <w:sz w:val="17"/>
                <w:szCs w:val="17"/>
              </w:rPr>
              <w:t>All patients with breast cancer related lymphedema (BCRL) AND patients at risk for BCRL</w:t>
            </w:r>
          </w:p>
        </w:tc>
      </w:tr>
      <w:tr w:rsidR="0002597B" w:rsidRPr="0002597B" w14:paraId="707A0D26" w14:textId="77777777" w:rsidTr="00AB6DA2">
        <w:tc>
          <w:tcPr>
            <w:tcW w:w="1460" w:type="pct"/>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1337955E"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Procedure Frequency</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566A017A"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000000"/>
                <w:kern w:val="24"/>
                <w:sz w:val="17"/>
                <w:szCs w:val="17"/>
              </w:rPr>
              <w:t>Once (Lifetime implant)</w:t>
            </w: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3BC7865A"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000000"/>
                <w:kern w:val="24"/>
                <w:sz w:val="17"/>
                <w:szCs w:val="17"/>
              </w:rPr>
              <w:t>Once (Lifetime implant)</w:t>
            </w:r>
          </w:p>
        </w:tc>
      </w:tr>
      <w:tr w:rsidR="0002597B" w:rsidRPr="0002597B" w14:paraId="21EC4ADF" w14:textId="77777777" w:rsidTr="00AB6DA2">
        <w:tc>
          <w:tcPr>
            <w:tcW w:w="1460" w:type="pct"/>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15575E92"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Delivery Mode</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53D3D2F1"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000000"/>
                <w:kern w:val="24"/>
                <w:sz w:val="17"/>
                <w:szCs w:val="17"/>
              </w:rPr>
              <w:t>Implanted as an adjunct procedure to axillary lymph node dissection</w:t>
            </w: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00504178"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000000"/>
                <w:kern w:val="24"/>
                <w:sz w:val="17"/>
                <w:szCs w:val="17"/>
              </w:rPr>
              <w:t>Minimally invasive procedure</w:t>
            </w:r>
          </w:p>
        </w:tc>
      </w:tr>
      <w:tr w:rsidR="0002597B" w:rsidRPr="0002597B" w14:paraId="6ADBA7FF" w14:textId="77777777" w:rsidTr="00AB6DA2">
        <w:tc>
          <w:tcPr>
            <w:tcW w:w="1460" w:type="pct"/>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01012249"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 xml:space="preserve">Quality of Life </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238D0125"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000000"/>
                <w:kern w:val="24"/>
                <w:sz w:val="17"/>
                <w:szCs w:val="17"/>
              </w:rPr>
              <w:t>&gt;75% of patients experience at least a 3-point improvement (</w:t>
            </w:r>
            <w:r w:rsidRPr="0002597B">
              <w:rPr>
                <w:rFonts w:ascii="Avenir Next LT Pro Light" w:eastAsia="Times New Roman" w:hAnsi="Avenir Next LT Pro Light" w:cs="Arial"/>
                <w:color w:val="FD4497"/>
                <w:kern w:val="24"/>
                <w:sz w:val="17"/>
                <w:szCs w:val="17"/>
              </w:rPr>
              <w:t>LYMQOL</w:t>
            </w:r>
            <w:r w:rsidRPr="0002597B">
              <w:rPr>
                <w:rFonts w:ascii="Avenir Next LT Pro Light" w:eastAsia="Times New Roman" w:hAnsi="Avenir Next LT Pro Light" w:cs="Arial"/>
                <w:color w:val="000000"/>
                <w:kern w:val="24"/>
                <w:sz w:val="17"/>
                <w:szCs w:val="17"/>
              </w:rPr>
              <w:t>)</w:t>
            </w: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7371ABE0"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000000"/>
                <w:kern w:val="24"/>
                <w:sz w:val="17"/>
                <w:szCs w:val="17"/>
              </w:rPr>
              <w:t>&gt;95% of patients experience at least a 3-point improvement (</w:t>
            </w:r>
            <w:r w:rsidRPr="0002597B">
              <w:rPr>
                <w:rFonts w:ascii="Avenir Next LT Pro Light" w:eastAsia="Times New Roman" w:hAnsi="Avenir Next LT Pro Light" w:cs="Arial"/>
                <w:color w:val="FD4497"/>
                <w:kern w:val="24"/>
                <w:sz w:val="17"/>
                <w:szCs w:val="17"/>
              </w:rPr>
              <w:t>LYMQOL</w:t>
            </w:r>
            <w:r w:rsidRPr="0002597B">
              <w:rPr>
                <w:rFonts w:ascii="Avenir Next LT Pro Light" w:eastAsia="Times New Roman" w:hAnsi="Avenir Next LT Pro Light" w:cs="Arial"/>
                <w:color w:val="000000"/>
                <w:kern w:val="24"/>
                <w:sz w:val="17"/>
                <w:szCs w:val="17"/>
              </w:rPr>
              <w:t xml:space="preserve">) </w:t>
            </w:r>
          </w:p>
        </w:tc>
      </w:tr>
      <w:tr w:rsidR="0002597B" w:rsidRPr="0002597B" w14:paraId="3A8391F9" w14:textId="77777777" w:rsidTr="00AB6DA2">
        <w:tc>
          <w:tcPr>
            <w:tcW w:w="1460" w:type="pct"/>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07C8CE5D"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Adverse Event Rate</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3DA1687A"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000000"/>
                <w:kern w:val="24"/>
                <w:sz w:val="17"/>
                <w:szCs w:val="17"/>
              </w:rPr>
              <w:t>&lt;10% of patients develop adverse events (≥ Grade II)</w:t>
            </w: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7431EDFA"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000000"/>
                <w:kern w:val="24"/>
                <w:sz w:val="17"/>
                <w:szCs w:val="17"/>
              </w:rPr>
              <w:t>&lt;1% of patients develop adverse events (≥ Grade II)</w:t>
            </w:r>
          </w:p>
        </w:tc>
      </w:tr>
      <w:tr w:rsidR="0002597B" w:rsidRPr="0002597B" w14:paraId="7204557E" w14:textId="77777777" w:rsidTr="002B3386">
        <w:tc>
          <w:tcPr>
            <w:tcW w:w="429" w:type="pct"/>
            <w:vMerge w:val="restar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textDirection w:val="btLr"/>
            <w:hideMark/>
          </w:tcPr>
          <w:p w14:paraId="6483C490"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Lymphatic Functional Efficacy Targets</w:t>
            </w:r>
            <w:r w:rsidRPr="0002597B">
              <w:rPr>
                <w:rFonts w:ascii="Avenir Next LT Pro Light" w:eastAsia="Times New Roman" w:hAnsi="Avenir Next LT Pro Light" w:cs="Arial"/>
                <w:color w:val="FD4497"/>
                <w:kern w:val="24"/>
                <w:position w:val="5"/>
                <w:sz w:val="17"/>
                <w:szCs w:val="17"/>
                <w:vertAlign w:val="superscript"/>
              </w:rPr>
              <w:t>1</w:t>
            </w:r>
            <w:r w:rsidRPr="0002597B">
              <w:rPr>
                <w:rFonts w:ascii="Avenir Next LT Pro Light" w:eastAsia="Times New Roman" w:hAnsi="Avenir Next LT Pro Light" w:cs="Arial"/>
                <w:color w:val="131314"/>
                <w:kern w:val="24"/>
                <w:sz w:val="17"/>
                <w:szCs w:val="17"/>
              </w:rPr>
              <w:t xml:space="preserve"> (</w:t>
            </w:r>
            <w:r w:rsidRPr="0002597B">
              <w:rPr>
                <w:rFonts w:ascii="Avenir Next LT Pro Light" w:eastAsia="Times New Roman" w:hAnsi="Avenir Next LT Pro Light" w:cs="Arial"/>
                <w:color w:val="FD4497"/>
                <w:kern w:val="24"/>
                <w:sz w:val="17"/>
                <w:szCs w:val="17"/>
              </w:rPr>
              <w:t>pick ≥1</w:t>
            </w:r>
            <w:r w:rsidRPr="0002597B">
              <w:rPr>
                <w:rFonts w:ascii="Avenir Next LT Pro Light" w:eastAsia="Times New Roman" w:hAnsi="Avenir Next LT Pro Light" w:cs="Arial"/>
                <w:color w:val="131314"/>
                <w:kern w:val="24"/>
                <w:sz w:val="17"/>
                <w:szCs w:val="17"/>
              </w:rPr>
              <w:t>)</w:t>
            </w:r>
          </w:p>
        </w:tc>
        <w:tc>
          <w:tcPr>
            <w:tcW w:w="103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2E18B09D"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b/>
                <w:bCs/>
                <w:color w:val="FD4497"/>
                <w:kern w:val="24"/>
                <w:sz w:val="17"/>
                <w:szCs w:val="17"/>
              </w:rPr>
              <w:t>Lymphatic Transport</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043C4AE2"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FD4497"/>
                <w:kern w:val="24"/>
                <w:sz w:val="17"/>
                <w:szCs w:val="17"/>
              </w:rPr>
              <w:t>&gt;60% clearance of injected interstitial lymphatic tracer within 24 hours</w:t>
            </w: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18117D65"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FD4497"/>
                <w:kern w:val="24"/>
                <w:sz w:val="17"/>
                <w:szCs w:val="17"/>
              </w:rPr>
              <w:t>&gt;80% clearance of injected interstitial lymphatic tracer within 24 hours</w:t>
            </w:r>
          </w:p>
        </w:tc>
      </w:tr>
      <w:tr w:rsidR="0002597B" w:rsidRPr="0002597B" w14:paraId="2AF1E5EF" w14:textId="77777777" w:rsidTr="002B3386">
        <w:tc>
          <w:tcPr>
            <w:tcW w:w="429" w:type="pct"/>
            <w:vMerge/>
            <w:tcBorders>
              <w:top w:val="single" w:sz="6" w:space="0" w:color="7F7F7F"/>
              <w:left w:val="single" w:sz="6" w:space="0" w:color="7F7F7F"/>
              <w:bottom w:val="single" w:sz="6" w:space="0" w:color="7F7F7F"/>
              <w:right w:val="single" w:sz="6" w:space="0" w:color="7F7F7F"/>
            </w:tcBorders>
            <w:vAlign w:val="center"/>
            <w:hideMark/>
          </w:tcPr>
          <w:p w14:paraId="2B50BFC1" w14:textId="77777777" w:rsidR="0002597B" w:rsidRPr="0002597B" w:rsidRDefault="0002597B" w:rsidP="0002597B">
            <w:pPr>
              <w:spacing w:after="0" w:line="240" w:lineRule="auto"/>
              <w:rPr>
                <w:rFonts w:ascii="Arial" w:eastAsia="Times New Roman" w:hAnsi="Arial" w:cs="Arial"/>
                <w:kern w:val="0"/>
                <w:sz w:val="17"/>
                <w:szCs w:val="17"/>
              </w:rPr>
            </w:pPr>
          </w:p>
        </w:tc>
        <w:tc>
          <w:tcPr>
            <w:tcW w:w="103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53D9280D"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Lymphatic Pressure</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4CE26BDD" w14:textId="77777777" w:rsidR="0002597B" w:rsidRPr="0002597B" w:rsidRDefault="0002597B" w:rsidP="0002597B">
            <w:pPr>
              <w:spacing w:after="0" w:line="240" w:lineRule="auto"/>
              <w:rPr>
                <w:rFonts w:ascii="Arial" w:eastAsia="Times New Roman" w:hAnsi="Arial" w:cs="Arial"/>
                <w:kern w:val="0"/>
                <w:sz w:val="17"/>
                <w:szCs w:val="17"/>
              </w:rPr>
            </w:pP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2550E1C4" w14:textId="77777777" w:rsidR="0002597B" w:rsidRPr="0002597B" w:rsidRDefault="0002597B" w:rsidP="0002597B">
            <w:pPr>
              <w:spacing w:after="0" w:line="240" w:lineRule="auto"/>
              <w:rPr>
                <w:rFonts w:eastAsia="Times New Roman"/>
                <w:kern w:val="0"/>
                <w:sz w:val="17"/>
                <w:szCs w:val="17"/>
              </w:rPr>
            </w:pPr>
          </w:p>
        </w:tc>
      </w:tr>
      <w:tr w:rsidR="0002597B" w:rsidRPr="0002597B" w14:paraId="08A4A04F" w14:textId="77777777" w:rsidTr="002B3386">
        <w:tc>
          <w:tcPr>
            <w:tcW w:w="429" w:type="pct"/>
            <w:vMerge/>
            <w:tcBorders>
              <w:top w:val="single" w:sz="6" w:space="0" w:color="7F7F7F"/>
              <w:left w:val="single" w:sz="6" w:space="0" w:color="7F7F7F"/>
              <w:bottom w:val="single" w:sz="6" w:space="0" w:color="7F7F7F"/>
              <w:right w:val="single" w:sz="6" w:space="0" w:color="7F7F7F"/>
            </w:tcBorders>
            <w:vAlign w:val="center"/>
            <w:hideMark/>
          </w:tcPr>
          <w:p w14:paraId="1D0ED17A" w14:textId="77777777" w:rsidR="0002597B" w:rsidRPr="0002597B" w:rsidRDefault="0002597B" w:rsidP="0002597B">
            <w:pPr>
              <w:spacing w:after="0" w:line="240" w:lineRule="auto"/>
              <w:rPr>
                <w:rFonts w:ascii="Arial" w:eastAsia="Times New Roman" w:hAnsi="Arial" w:cs="Arial"/>
                <w:kern w:val="0"/>
                <w:sz w:val="17"/>
                <w:szCs w:val="17"/>
              </w:rPr>
            </w:pPr>
          </w:p>
        </w:tc>
        <w:tc>
          <w:tcPr>
            <w:tcW w:w="103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5C86EC04"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Lymphatic Vessel Contractility</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3F194638" w14:textId="77777777" w:rsidR="0002597B" w:rsidRPr="0002597B" w:rsidRDefault="0002597B" w:rsidP="0002597B">
            <w:pPr>
              <w:spacing w:after="0" w:line="240" w:lineRule="auto"/>
              <w:rPr>
                <w:rFonts w:ascii="Arial" w:eastAsia="Times New Roman" w:hAnsi="Arial" w:cs="Arial"/>
                <w:kern w:val="0"/>
                <w:sz w:val="17"/>
                <w:szCs w:val="17"/>
              </w:rPr>
            </w:pP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47A7BA58" w14:textId="77777777" w:rsidR="0002597B" w:rsidRPr="0002597B" w:rsidRDefault="0002597B" w:rsidP="0002597B">
            <w:pPr>
              <w:spacing w:after="0" w:line="240" w:lineRule="auto"/>
              <w:rPr>
                <w:rFonts w:eastAsia="Times New Roman"/>
                <w:kern w:val="0"/>
                <w:sz w:val="17"/>
                <w:szCs w:val="17"/>
              </w:rPr>
            </w:pPr>
          </w:p>
        </w:tc>
      </w:tr>
      <w:tr w:rsidR="0002597B" w:rsidRPr="0002597B" w14:paraId="2DD5E608" w14:textId="77777777" w:rsidTr="002B3386">
        <w:tc>
          <w:tcPr>
            <w:tcW w:w="429" w:type="pct"/>
            <w:vMerge/>
            <w:tcBorders>
              <w:top w:val="single" w:sz="6" w:space="0" w:color="7F7F7F"/>
              <w:left w:val="single" w:sz="6" w:space="0" w:color="7F7F7F"/>
              <w:bottom w:val="single" w:sz="6" w:space="0" w:color="7F7F7F"/>
              <w:right w:val="single" w:sz="6" w:space="0" w:color="7F7F7F"/>
            </w:tcBorders>
            <w:vAlign w:val="center"/>
            <w:hideMark/>
          </w:tcPr>
          <w:p w14:paraId="2EA69E1D" w14:textId="77777777" w:rsidR="0002597B" w:rsidRPr="0002597B" w:rsidRDefault="0002597B" w:rsidP="0002597B">
            <w:pPr>
              <w:spacing w:after="0" w:line="240" w:lineRule="auto"/>
              <w:rPr>
                <w:rFonts w:ascii="Arial" w:eastAsia="Times New Roman" w:hAnsi="Arial" w:cs="Arial"/>
                <w:kern w:val="0"/>
                <w:sz w:val="17"/>
                <w:szCs w:val="17"/>
              </w:rPr>
            </w:pPr>
          </w:p>
        </w:tc>
        <w:tc>
          <w:tcPr>
            <w:tcW w:w="103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490C86D7"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b/>
                <w:bCs/>
                <w:color w:val="FD4497"/>
                <w:kern w:val="24"/>
                <w:sz w:val="17"/>
                <w:szCs w:val="17"/>
              </w:rPr>
              <w:t>Volume/Displacement</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009DCAD0"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FD4497"/>
                <w:kern w:val="24"/>
                <w:sz w:val="17"/>
                <w:szCs w:val="17"/>
              </w:rPr>
              <w:t xml:space="preserve">&gt;20% reduction in LE arm volume (~100-150ml) </w:t>
            </w: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407A45D5"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FD4497"/>
                <w:kern w:val="24"/>
                <w:sz w:val="17"/>
                <w:szCs w:val="17"/>
              </w:rPr>
              <w:t>40% reduction in LE arm volume (&gt;250ml)</w:t>
            </w:r>
          </w:p>
        </w:tc>
      </w:tr>
      <w:tr w:rsidR="0002597B" w:rsidRPr="0002597B" w14:paraId="4D905FE3" w14:textId="77777777" w:rsidTr="002B3386">
        <w:tc>
          <w:tcPr>
            <w:tcW w:w="429" w:type="pct"/>
            <w:vMerge w:val="restar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textDirection w:val="btLr"/>
            <w:hideMark/>
          </w:tcPr>
          <w:p w14:paraId="01E68432"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 xml:space="preserve"> Disease Specific </w:t>
            </w:r>
            <w:proofErr w:type="gramStart"/>
            <w:r w:rsidRPr="0002597B">
              <w:rPr>
                <w:rFonts w:ascii="Avenir Next LT Pro Light" w:eastAsia="Times New Roman" w:hAnsi="Avenir Next LT Pro Light" w:cs="Arial"/>
                <w:color w:val="131314"/>
                <w:kern w:val="24"/>
                <w:sz w:val="17"/>
                <w:szCs w:val="17"/>
              </w:rPr>
              <w:t>Efficacy  Targets</w:t>
            </w:r>
            <w:proofErr w:type="gramEnd"/>
            <w:r w:rsidRPr="0002597B">
              <w:rPr>
                <w:rFonts w:ascii="Avenir Next LT Pro Light" w:eastAsia="Times New Roman" w:hAnsi="Avenir Next LT Pro Light" w:cs="Arial"/>
                <w:color w:val="18AE9D"/>
                <w:kern w:val="24"/>
                <w:position w:val="5"/>
                <w:sz w:val="17"/>
                <w:szCs w:val="17"/>
                <w:vertAlign w:val="superscript"/>
              </w:rPr>
              <w:t>2</w:t>
            </w:r>
          </w:p>
        </w:tc>
        <w:tc>
          <w:tcPr>
            <w:tcW w:w="103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036A29FD"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8AE9D"/>
                <w:kern w:val="24"/>
                <w:sz w:val="17"/>
                <w:szCs w:val="17"/>
              </w:rPr>
              <w:t xml:space="preserve"> Skin Thickness</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1AD98EC1"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18AE9D"/>
                <w:kern w:val="24"/>
                <w:sz w:val="17"/>
                <w:szCs w:val="17"/>
              </w:rPr>
              <w:t>&lt;25mm (caliper measurement)</w:t>
            </w: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2746434B"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18AE9D"/>
                <w:kern w:val="24"/>
                <w:sz w:val="17"/>
                <w:szCs w:val="17"/>
              </w:rPr>
              <w:t>&lt;13mm (caliper measurement)</w:t>
            </w:r>
          </w:p>
        </w:tc>
      </w:tr>
      <w:tr w:rsidR="0002597B" w:rsidRPr="0002597B" w14:paraId="4FD1A8B4" w14:textId="77777777" w:rsidTr="002B3386">
        <w:tc>
          <w:tcPr>
            <w:tcW w:w="429" w:type="pct"/>
            <w:vMerge/>
            <w:tcBorders>
              <w:top w:val="single" w:sz="6" w:space="0" w:color="7F7F7F"/>
              <w:left w:val="single" w:sz="6" w:space="0" w:color="7F7F7F"/>
              <w:bottom w:val="single" w:sz="6" w:space="0" w:color="7F7F7F"/>
              <w:right w:val="single" w:sz="6" w:space="0" w:color="7F7F7F"/>
            </w:tcBorders>
            <w:vAlign w:val="center"/>
            <w:hideMark/>
          </w:tcPr>
          <w:p w14:paraId="36BB5C2C" w14:textId="77777777" w:rsidR="0002597B" w:rsidRPr="0002597B" w:rsidRDefault="0002597B" w:rsidP="0002597B">
            <w:pPr>
              <w:spacing w:after="0" w:line="240" w:lineRule="auto"/>
              <w:rPr>
                <w:rFonts w:ascii="Arial" w:eastAsia="Times New Roman" w:hAnsi="Arial" w:cs="Arial"/>
                <w:kern w:val="0"/>
                <w:sz w:val="17"/>
                <w:szCs w:val="17"/>
              </w:rPr>
            </w:pPr>
          </w:p>
        </w:tc>
        <w:tc>
          <w:tcPr>
            <w:tcW w:w="103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4CCBD7E7"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8AE9D"/>
                <w:kern w:val="24"/>
                <w:sz w:val="17"/>
                <w:szCs w:val="17"/>
              </w:rPr>
              <w:t>Bioimpedance</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4326A38B"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18AE9D"/>
                <w:kern w:val="24"/>
                <w:sz w:val="17"/>
                <w:szCs w:val="17"/>
              </w:rPr>
              <w:t xml:space="preserve">&gt;0.95 bioimpedance ratio (LE arm: Healthy arm) </w:t>
            </w: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3C5CD12E"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18AE9D"/>
                <w:kern w:val="24"/>
                <w:sz w:val="17"/>
                <w:szCs w:val="17"/>
              </w:rPr>
              <w:t xml:space="preserve">&gt;0.99 bioimpedance ratio (LE arm: Healthy arm) </w:t>
            </w:r>
          </w:p>
        </w:tc>
      </w:tr>
      <w:tr w:rsidR="0002597B" w:rsidRPr="0002597B" w14:paraId="641B6418" w14:textId="77777777" w:rsidTr="002B3386">
        <w:tc>
          <w:tcPr>
            <w:tcW w:w="429" w:type="pct"/>
            <w:vMerge/>
            <w:tcBorders>
              <w:top w:val="single" w:sz="6" w:space="0" w:color="7F7F7F"/>
              <w:left w:val="single" w:sz="6" w:space="0" w:color="7F7F7F"/>
              <w:bottom w:val="single" w:sz="6" w:space="0" w:color="7F7F7F"/>
              <w:right w:val="single" w:sz="6" w:space="0" w:color="7F7F7F"/>
            </w:tcBorders>
            <w:vAlign w:val="center"/>
            <w:hideMark/>
          </w:tcPr>
          <w:p w14:paraId="3941D6CF" w14:textId="77777777" w:rsidR="0002597B" w:rsidRPr="0002597B" w:rsidRDefault="0002597B" w:rsidP="0002597B">
            <w:pPr>
              <w:spacing w:after="0" w:line="240" w:lineRule="auto"/>
              <w:rPr>
                <w:rFonts w:ascii="Arial" w:eastAsia="Times New Roman" w:hAnsi="Arial" w:cs="Arial"/>
                <w:kern w:val="0"/>
                <w:sz w:val="17"/>
                <w:szCs w:val="17"/>
              </w:rPr>
            </w:pPr>
          </w:p>
        </w:tc>
        <w:tc>
          <w:tcPr>
            <w:tcW w:w="103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2DDA9FBD"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8AE9D"/>
                <w:kern w:val="24"/>
                <w:sz w:val="17"/>
                <w:szCs w:val="17"/>
              </w:rPr>
              <w:t>Inflammation</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372ED5A6"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18AE9D"/>
                <w:kern w:val="24"/>
                <w:sz w:val="17"/>
                <w:szCs w:val="17"/>
              </w:rPr>
              <w:t>&lt;17pg/ml GM-CSF (plasma)</w:t>
            </w: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1AC71FCB"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18AE9D"/>
                <w:kern w:val="24"/>
                <w:sz w:val="17"/>
                <w:szCs w:val="17"/>
              </w:rPr>
              <w:t>&lt;12pg/ml GM-CSF (plasma)</w:t>
            </w:r>
          </w:p>
        </w:tc>
      </w:tr>
      <w:tr w:rsidR="0002597B" w:rsidRPr="0002597B" w14:paraId="7492486F" w14:textId="77777777" w:rsidTr="002B3386">
        <w:tc>
          <w:tcPr>
            <w:tcW w:w="429" w:type="pct"/>
            <w:vMerge/>
            <w:tcBorders>
              <w:top w:val="single" w:sz="6" w:space="0" w:color="7F7F7F"/>
              <w:left w:val="single" w:sz="6" w:space="0" w:color="7F7F7F"/>
              <w:bottom w:val="single" w:sz="6" w:space="0" w:color="7F7F7F"/>
              <w:right w:val="single" w:sz="6" w:space="0" w:color="7F7F7F"/>
            </w:tcBorders>
            <w:vAlign w:val="center"/>
            <w:hideMark/>
          </w:tcPr>
          <w:p w14:paraId="09DBD326" w14:textId="77777777" w:rsidR="0002597B" w:rsidRPr="0002597B" w:rsidRDefault="0002597B" w:rsidP="0002597B">
            <w:pPr>
              <w:spacing w:after="0" w:line="240" w:lineRule="auto"/>
              <w:rPr>
                <w:rFonts w:ascii="Arial" w:eastAsia="Times New Roman" w:hAnsi="Arial" w:cs="Arial"/>
                <w:kern w:val="0"/>
                <w:sz w:val="17"/>
                <w:szCs w:val="17"/>
              </w:rPr>
            </w:pPr>
          </w:p>
        </w:tc>
        <w:tc>
          <w:tcPr>
            <w:tcW w:w="103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514017E5"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8AE9D"/>
                <w:kern w:val="24"/>
                <w:sz w:val="17"/>
                <w:szCs w:val="17"/>
              </w:rPr>
              <w:t>Etc.</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22E183C9" w14:textId="77777777" w:rsidR="0002597B" w:rsidRPr="0002597B" w:rsidRDefault="0002597B" w:rsidP="0002597B">
            <w:pPr>
              <w:spacing w:after="0" w:line="240" w:lineRule="auto"/>
              <w:rPr>
                <w:rFonts w:ascii="Arial" w:eastAsia="Times New Roman" w:hAnsi="Arial" w:cs="Arial"/>
                <w:kern w:val="0"/>
                <w:sz w:val="17"/>
                <w:szCs w:val="17"/>
              </w:rPr>
            </w:pP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40897675" w14:textId="77777777" w:rsidR="0002597B" w:rsidRPr="0002597B" w:rsidRDefault="0002597B" w:rsidP="0002597B">
            <w:pPr>
              <w:spacing w:after="0" w:line="240" w:lineRule="auto"/>
              <w:rPr>
                <w:rFonts w:eastAsia="Times New Roman"/>
                <w:kern w:val="0"/>
                <w:sz w:val="17"/>
                <w:szCs w:val="17"/>
              </w:rPr>
            </w:pPr>
          </w:p>
        </w:tc>
      </w:tr>
      <w:tr w:rsidR="0002597B" w:rsidRPr="0002597B" w14:paraId="558F00D9" w14:textId="77777777" w:rsidTr="002B3386">
        <w:tc>
          <w:tcPr>
            <w:tcW w:w="429" w:type="pct"/>
            <w:vMerge w:val="restar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textDirection w:val="btLr"/>
            <w:hideMark/>
          </w:tcPr>
          <w:p w14:paraId="2AF1B3AD"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Product Specific-</w:t>
            </w:r>
            <w:proofErr w:type="spellStart"/>
            <w:r w:rsidRPr="0002597B">
              <w:rPr>
                <w:rFonts w:ascii="Avenir Next LT Pro Light" w:eastAsia="Times New Roman" w:hAnsi="Avenir Next LT Pro Light" w:cs="Arial"/>
                <w:color w:val="131314"/>
                <w:kern w:val="24"/>
                <w:sz w:val="17"/>
                <w:szCs w:val="17"/>
              </w:rPr>
              <w:t>ations</w:t>
            </w:r>
            <w:proofErr w:type="spellEnd"/>
            <w:r w:rsidRPr="0002597B">
              <w:rPr>
                <w:rFonts w:ascii="Avenir Next LT Pro Light" w:eastAsia="Times New Roman" w:hAnsi="Avenir Next LT Pro Light" w:cs="Arial"/>
                <w:color w:val="18AE9D"/>
                <w:kern w:val="24"/>
                <w:position w:val="5"/>
                <w:sz w:val="17"/>
                <w:szCs w:val="17"/>
                <w:vertAlign w:val="superscript"/>
              </w:rPr>
              <w:t>2</w:t>
            </w:r>
            <w:r w:rsidRPr="0002597B">
              <w:rPr>
                <w:rFonts w:ascii="Avenir Next LT Pro Light" w:eastAsia="Times New Roman" w:hAnsi="Avenir Next LT Pro Light" w:cs="Arial"/>
                <w:color w:val="131314"/>
                <w:kern w:val="24"/>
                <w:sz w:val="17"/>
                <w:szCs w:val="17"/>
              </w:rPr>
              <w:t xml:space="preserve">  </w:t>
            </w:r>
          </w:p>
        </w:tc>
        <w:tc>
          <w:tcPr>
            <w:tcW w:w="103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1586B650"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i/>
                <w:iCs/>
                <w:color w:val="18AE9D"/>
                <w:kern w:val="24"/>
                <w:sz w:val="17"/>
                <w:szCs w:val="17"/>
              </w:rPr>
              <w:t>Ex. Product Dimensions</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6C0CD2F5"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18AE9D"/>
                <w:kern w:val="24"/>
                <w:sz w:val="17"/>
                <w:szCs w:val="17"/>
              </w:rPr>
              <w:t>&lt; 2cm x 2cm x 1cm (</w:t>
            </w:r>
            <w:proofErr w:type="spellStart"/>
            <w:r w:rsidRPr="0002597B">
              <w:rPr>
                <w:rFonts w:ascii="Avenir Next LT Pro Light" w:eastAsia="Times New Roman" w:hAnsi="Avenir Next LT Pro Light" w:cs="Arial"/>
                <w:color w:val="18AE9D"/>
                <w:kern w:val="24"/>
                <w:sz w:val="17"/>
                <w:szCs w:val="17"/>
              </w:rPr>
              <w:t>HxWxD</w:t>
            </w:r>
            <w:proofErr w:type="spellEnd"/>
            <w:r w:rsidRPr="0002597B">
              <w:rPr>
                <w:rFonts w:ascii="Avenir Next LT Pro Light" w:eastAsia="Times New Roman" w:hAnsi="Avenir Next LT Pro Light" w:cs="Arial"/>
                <w:color w:val="18AE9D"/>
                <w:kern w:val="24"/>
                <w:sz w:val="17"/>
                <w:szCs w:val="17"/>
              </w:rPr>
              <w:t>)</w:t>
            </w: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4305EE2D"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18AE9D"/>
                <w:kern w:val="24"/>
                <w:sz w:val="17"/>
                <w:szCs w:val="17"/>
              </w:rPr>
              <w:t>&lt; 1cm x 2cm x 0.5cm (</w:t>
            </w:r>
            <w:proofErr w:type="spellStart"/>
            <w:r w:rsidRPr="0002597B">
              <w:rPr>
                <w:rFonts w:ascii="Avenir Next LT Pro Light" w:eastAsia="Times New Roman" w:hAnsi="Avenir Next LT Pro Light" w:cs="Arial"/>
                <w:color w:val="18AE9D"/>
                <w:kern w:val="24"/>
                <w:sz w:val="17"/>
                <w:szCs w:val="17"/>
              </w:rPr>
              <w:t>HxWxD</w:t>
            </w:r>
            <w:proofErr w:type="spellEnd"/>
            <w:r w:rsidRPr="0002597B">
              <w:rPr>
                <w:rFonts w:ascii="Avenir Next LT Pro Light" w:eastAsia="Times New Roman" w:hAnsi="Avenir Next LT Pro Light" w:cs="Arial"/>
                <w:color w:val="18AE9D"/>
                <w:kern w:val="24"/>
                <w:sz w:val="17"/>
                <w:szCs w:val="17"/>
              </w:rPr>
              <w:t>)</w:t>
            </w:r>
          </w:p>
        </w:tc>
      </w:tr>
      <w:tr w:rsidR="0002597B" w:rsidRPr="0002597B" w14:paraId="1EC291EA" w14:textId="77777777" w:rsidTr="002B3386">
        <w:tc>
          <w:tcPr>
            <w:tcW w:w="429" w:type="pct"/>
            <w:vMerge/>
            <w:tcBorders>
              <w:top w:val="single" w:sz="6" w:space="0" w:color="7F7F7F"/>
              <w:left w:val="single" w:sz="6" w:space="0" w:color="7F7F7F"/>
              <w:bottom w:val="single" w:sz="6" w:space="0" w:color="7F7F7F"/>
              <w:right w:val="single" w:sz="6" w:space="0" w:color="7F7F7F"/>
            </w:tcBorders>
            <w:vAlign w:val="center"/>
            <w:hideMark/>
          </w:tcPr>
          <w:p w14:paraId="6A207021" w14:textId="77777777" w:rsidR="0002597B" w:rsidRPr="0002597B" w:rsidRDefault="0002597B" w:rsidP="0002597B">
            <w:pPr>
              <w:spacing w:after="0" w:line="240" w:lineRule="auto"/>
              <w:rPr>
                <w:rFonts w:ascii="Arial" w:eastAsia="Times New Roman" w:hAnsi="Arial" w:cs="Arial"/>
                <w:kern w:val="0"/>
                <w:sz w:val="17"/>
                <w:szCs w:val="17"/>
              </w:rPr>
            </w:pPr>
          </w:p>
        </w:tc>
        <w:tc>
          <w:tcPr>
            <w:tcW w:w="103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797A8005"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i/>
                <w:iCs/>
                <w:color w:val="18AE9D"/>
                <w:kern w:val="24"/>
                <w:sz w:val="17"/>
                <w:szCs w:val="17"/>
              </w:rPr>
              <w:t>Ex. Cost of Goods Manufactured (COGM)</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6B8E3E71"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18AE9D"/>
                <w:kern w:val="24"/>
                <w:sz w:val="17"/>
                <w:szCs w:val="17"/>
              </w:rPr>
              <w:t>&lt; $5,000</w:t>
            </w: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4AFE745B"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18AE9D"/>
                <w:kern w:val="24"/>
                <w:sz w:val="17"/>
                <w:szCs w:val="17"/>
              </w:rPr>
              <w:t>&lt; $ 3,500</w:t>
            </w:r>
          </w:p>
        </w:tc>
      </w:tr>
      <w:tr w:rsidR="0002597B" w:rsidRPr="0002597B" w14:paraId="78238CA5" w14:textId="77777777" w:rsidTr="002B3386">
        <w:tc>
          <w:tcPr>
            <w:tcW w:w="429" w:type="pct"/>
            <w:vMerge/>
            <w:tcBorders>
              <w:top w:val="single" w:sz="6" w:space="0" w:color="7F7F7F"/>
              <w:left w:val="single" w:sz="6" w:space="0" w:color="7F7F7F"/>
              <w:bottom w:val="single" w:sz="6" w:space="0" w:color="7F7F7F"/>
              <w:right w:val="single" w:sz="6" w:space="0" w:color="7F7F7F"/>
            </w:tcBorders>
            <w:vAlign w:val="center"/>
            <w:hideMark/>
          </w:tcPr>
          <w:p w14:paraId="29648318" w14:textId="77777777" w:rsidR="0002597B" w:rsidRPr="0002597B" w:rsidRDefault="0002597B" w:rsidP="0002597B">
            <w:pPr>
              <w:spacing w:after="0" w:line="240" w:lineRule="auto"/>
              <w:rPr>
                <w:rFonts w:ascii="Arial" w:eastAsia="Times New Roman" w:hAnsi="Arial" w:cs="Arial"/>
                <w:kern w:val="0"/>
                <w:sz w:val="17"/>
                <w:szCs w:val="17"/>
              </w:rPr>
            </w:pPr>
          </w:p>
        </w:tc>
        <w:tc>
          <w:tcPr>
            <w:tcW w:w="1031"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1005F555"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i/>
                <w:iCs/>
                <w:color w:val="18AE9D"/>
                <w:kern w:val="24"/>
                <w:sz w:val="17"/>
                <w:szCs w:val="17"/>
              </w:rPr>
              <w:t>Etc.</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4FA1678A" w14:textId="77777777" w:rsidR="0002597B" w:rsidRPr="0002597B" w:rsidRDefault="0002597B" w:rsidP="0002597B">
            <w:pPr>
              <w:spacing w:after="0" w:line="240" w:lineRule="auto"/>
              <w:rPr>
                <w:rFonts w:ascii="Arial" w:eastAsia="Times New Roman" w:hAnsi="Arial" w:cs="Arial"/>
                <w:kern w:val="0"/>
                <w:sz w:val="17"/>
                <w:szCs w:val="17"/>
              </w:rPr>
            </w:pP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7E0DF2AB" w14:textId="77777777" w:rsidR="0002597B" w:rsidRPr="0002597B" w:rsidRDefault="0002597B" w:rsidP="0002597B">
            <w:pPr>
              <w:spacing w:after="0" w:line="240" w:lineRule="auto"/>
              <w:rPr>
                <w:rFonts w:eastAsia="Times New Roman"/>
                <w:kern w:val="0"/>
                <w:sz w:val="17"/>
                <w:szCs w:val="17"/>
              </w:rPr>
            </w:pPr>
          </w:p>
        </w:tc>
      </w:tr>
      <w:tr w:rsidR="0002597B" w:rsidRPr="0002597B" w14:paraId="1C3210E3" w14:textId="77777777" w:rsidTr="002B3386">
        <w:tc>
          <w:tcPr>
            <w:tcW w:w="429" w:type="pct"/>
            <w:vMerge w:val="restart"/>
            <w:tcBorders>
              <w:top w:val="single" w:sz="6" w:space="0" w:color="7F7F7F"/>
              <w:left w:val="single" w:sz="6" w:space="0" w:color="7F7F7F"/>
              <w:bottom w:val="single" w:sz="6" w:space="0" w:color="7F7F7F"/>
              <w:right w:val="single" w:sz="8" w:space="0" w:color="959BA3"/>
            </w:tcBorders>
            <w:shd w:val="clear" w:color="auto" w:fill="auto"/>
            <w:tcMar>
              <w:top w:w="29" w:type="dxa"/>
              <w:left w:w="58" w:type="dxa"/>
              <w:bottom w:w="29" w:type="dxa"/>
              <w:right w:w="29" w:type="dxa"/>
            </w:tcMar>
            <w:textDirection w:val="btLr"/>
            <w:hideMark/>
          </w:tcPr>
          <w:p w14:paraId="06D77FF8" w14:textId="77777777" w:rsidR="0002597B" w:rsidRPr="0002597B" w:rsidRDefault="0002597B" w:rsidP="0002597B">
            <w:pPr>
              <w:spacing w:after="0" w:line="240" w:lineRule="auto"/>
              <w:jc w:val="center"/>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Affordability and Accessibility</w:t>
            </w:r>
          </w:p>
        </w:tc>
        <w:tc>
          <w:tcPr>
            <w:tcW w:w="1031" w:type="pct"/>
            <w:tcBorders>
              <w:top w:val="single" w:sz="6" w:space="0" w:color="7F7F7F"/>
              <w:left w:val="single" w:sz="8" w:space="0" w:color="959BA3"/>
              <w:bottom w:val="single" w:sz="6" w:space="0" w:color="7F7F7F"/>
              <w:right w:val="single" w:sz="6" w:space="0" w:color="7F7F7F"/>
            </w:tcBorders>
            <w:shd w:val="clear" w:color="auto" w:fill="auto"/>
            <w:tcMar>
              <w:top w:w="29" w:type="dxa"/>
              <w:left w:w="58" w:type="dxa"/>
              <w:bottom w:w="29" w:type="dxa"/>
              <w:right w:w="29" w:type="dxa"/>
            </w:tcMar>
            <w:hideMark/>
          </w:tcPr>
          <w:p w14:paraId="14550179"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Device Cost (to purchaser)</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1C263129"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Class III: &lt;$7,000</w:t>
            </w: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0038C033"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Class III: &lt;$5,000</w:t>
            </w:r>
          </w:p>
        </w:tc>
      </w:tr>
      <w:tr w:rsidR="0002597B" w:rsidRPr="0002597B" w14:paraId="6E571C9E" w14:textId="77777777" w:rsidTr="002B3386">
        <w:tc>
          <w:tcPr>
            <w:tcW w:w="429" w:type="pct"/>
            <w:vMerge/>
            <w:tcBorders>
              <w:top w:val="single" w:sz="6" w:space="0" w:color="7F7F7F"/>
              <w:left w:val="single" w:sz="6" w:space="0" w:color="7F7F7F"/>
              <w:bottom w:val="single" w:sz="6" w:space="0" w:color="7F7F7F"/>
              <w:right w:val="single" w:sz="8" w:space="0" w:color="959BA3"/>
            </w:tcBorders>
            <w:vAlign w:val="center"/>
            <w:hideMark/>
          </w:tcPr>
          <w:p w14:paraId="47BE9C53" w14:textId="77777777" w:rsidR="0002597B" w:rsidRPr="0002597B" w:rsidRDefault="0002597B" w:rsidP="0002597B">
            <w:pPr>
              <w:spacing w:after="0" w:line="240" w:lineRule="auto"/>
              <w:rPr>
                <w:rFonts w:ascii="Arial" w:eastAsia="Times New Roman" w:hAnsi="Arial" w:cs="Arial"/>
                <w:kern w:val="0"/>
                <w:sz w:val="17"/>
                <w:szCs w:val="17"/>
              </w:rPr>
            </w:pPr>
          </w:p>
        </w:tc>
        <w:tc>
          <w:tcPr>
            <w:tcW w:w="1031" w:type="pct"/>
            <w:tcBorders>
              <w:top w:val="single" w:sz="6" w:space="0" w:color="7F7F7F"/>
              <w:left w:val="single" w:sz="8" w:space="0" w:color="959BA3"/>
              <w:bottom w:val="single" w:sz="6" w:space="0" w:color="7F7F7F"/>
              <w:right w:val="single" w:sz="6" w:space="0" w:color="7F7F7F"/>
            </w:tcBorders>
            <w:shd w:val="clear" w:color="auto" w:fill="auto"/>
            <w:tcMar>
              <w:top w:w="29" w:type="dxa"/>
              <w:left w:w="58" w:type="dxa"/>
              <w:bottom w:w="29" w:type="dxa"/>
              <w:right w:w="29" w:type="dxa"/>
            </w:tcMar>
            <w:hideMark/>
          </w:tcPr>
          <w:p w14:paraId="767FE56E"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Procedure Cost (to patient)</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23919F87"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&lt; $1,300 (target out of pocket expense)</w:t>
            </w: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24A1CD8B"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&lt; $650 (target out of pocket expense)</w:t>
            </w:r>
          </w:p>
        </w:tc>
      </w:tr>
      <w:tr w:rsidR="0002597B" w:rsidRPr="0002597B" w14:paraId="298F7835" w14:textId="77777777" w:rsidTr="002B3386">
        <w:tc>
          <w:tcPr>
            <w:tcW w:w="429" w:type="pct"/>
            <w:vMerge/>
            <w:tcBorders>
              <w:top w:val="single" w:sz="6" w:space="0" w:color="7F7F7F"/>
              <w:left w:val="single" w:sz="6" w:space="0" w:color="7F7F7F"/>
              <w:bottom w:val="single" w:sz="6" w:space="0" w:color="7F7F7F"/>
              <w:right w:val="single" w:sz="8" w:space="0" w:color="959BA3"/>
            </w:tcBorders>
            <w:vAlign w:val="center"/>
            <w:hideMark/>
          </w:tcPr>
          <w:p w14:paraId="1EF1D269" w14:textId="77777777" w:rsidR="0002597B" w:rsidRPr="0002597B" w:rsidRDefault="0002597B" w:rsidP="0002597B">
            <w:pPr>
              <w:spacing w:after="0" w:line="240" w:lineRule="auto"/>
              <w:rPr>
                <w:rFonts w:ascii="Arial" w:eastAsia="Times New Roman" w:hAnsi="Arial" w:cs="Arial"/>
                <w:kern w:val="0"/>
                <w:sz w:val="17"/>
                <w:szCs w:val="17"/>
              </w:rPr>
            </w:pPr>
          </w:p>
        </w:tc>
        <w:tc>
          <w:tcPr>
            <w:tcW w:w="1031" w:type="pct"/>
            <w:tcBorders>
              <w:top w:val="single" w:sz="6" w:space="0" w:color="7F7F7F"/>
              <w:left w:val="single" w:sz="8" w:space="0" w:color="959BA3"/>
              <w:bottom w:val="single" w:sz="6" w:space="0" w:color="7F7F7F"/>
              <w:right w:val="single" w:sz="6" w:space="0" w:color="7F7F7F"/>
            </w:tcBorders>
            <w:shd w:val="clear" w:color="auto" w:fill="auto"/>
            <w:tcMar>
              <w:top w:w="29" w:type="dxa"/>
              <w:left w:w="58" w:type="dxa"/>
              <w:bottom w:w="29" w:type="dxa"/>
              <w:right w:w="29" w:type="dxa"/>
            </w:tcMar>
            <w:hideMark/>
          </w:tcPr>
          <w:p w14:paraId="3E21C71C"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Training/Ease of use</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30E04328"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An experienced surgeon/user should be competent in the intervention with ≤ 2 weeks of training.</w:t>
            </w: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267D2209"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An experienced surgeon/user should be competent in the intervention with ≤ 5 days of training.</w:t>
            </w:r>
          </w:p>
        </w:tc>
      </w:tr>
      <w:tr w:rsidR="0002597B" w:rsidRPr="0002597B" w14:paraId="62899534" w14:textId="77777777" w:rsidTr="002B3386">
        <w:tc>
          <w:tcPr>
            <w:tcW w:w="429" w:type="pct"/>
            <w:vMerge/>
            <w:tcBorders>
              <w:top w:val="single" w:sz="6" w:space="0" w:color="7F7F7F"/>
              <w:left w:val="single" w:sz="6" w:space="0" w:color="7F7F7F"/>
              <w:bottom w:val="single" w:sz="6" w:space="0" w:color="7F7F7F"/>
              <w:right w:val="single" w:sz="8" w:space="0" w:color="959BA3"/>
            </w:tcBorders>
            <w:vAlign w:val="center"/>
            <w:hideMark/>
          </w:tcPr>
          <w:p w14:paraId="000340EE" w14:textId="77777777" w:rsidR="0002597B" w:rsidRPr="0002597B" w:rsidRDefault="0002597B" w:rsidP="0002597B">
            <w:pPr>
              <w:spacing w:after="0" w:line="240" w:lineRule="auto"/>
              <w:rPr>
                <w:rFonts w:ascii="Arial" w:eastAsia="Times New Roman" w:hAnsi="Arial" w:cs="Arial"/>
                <w:kern w:val="0"/>
                <w:sz w:val="17"/>
                <w:szCs w:val="17"/>
              </w:rPr>
            </w:pPr>
          </w:p>
        </w:tc>
        <w:tc>
          <w:tcPr>
            <w:tcW w:w="1031" w:type="pct"/>
            <w:tcBorders>
              <w:top w:val="single" w:sz="6" w:space="0" w:color="7F7F7F"/>
              <w:left w:val="single" w:sz="8" w:space="0" w:color="959BA3"/>
              <w:bottom w:val="single" w:sz="6" w:space="0" w:color="7F7F7F"/>
              <w:right w:val="single" w:sz="6" w:space="0" w:color="7F7F7F"/>
            </w:tcBorders>
            <w:shd w:val="clear" w:color="auto" w:fill="auto"/>
            <w:tcMar>
              <w:top w:w="29" w:type="dxa"/>
              <w:left w:w="58" w:type="dxa"/>
              <w:bottom w:w="29" w:type="dxa"/>
              <w:right w:w="29" w:type="dxa"/>
            </w:tcMar>
            <w:hideMark/>
          </w:tcPr>
          <w:p w14:paraId="17DE9C5E"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Accessibility</w:t>
            </w:r>
          </w:p>
        </w:tc>
        <w:tc>
          <w:tcPr>
            <w:tcW w:w="178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52217493"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Available at community hospitals and healthcare centers</w:t>
            </w:r>
          </w:p>
        </w:tc>
        <w:tc>
          <w:tcPr>
            <w:tcW w:w="1760" w:type="pct"/>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68821C6E" w14:textId="77777777" w:rsidR="0002597B" w:rsidRPr="0002597B" w:rsidRDefault="0002597B" w:rsidP="0002597B">
            <w:pPr>
              <w:spacing w:after="0" w:line="240" w:lineRule="auto"/>
              <w:rPr>
                <w:rFonts w:ascii="Arial" w:eastAsia="Times New Roman" w:hAnsi="Arial" w:cs="Arial"/>
                <w:kern w:val="0"/>
                <w:sz w:val="17"/>
                <w:szCs w:val="17"/>
              </w:rPr>
            </w:pPr>
            <w:r w:rsidRPr="0002597B">
              <w:rPr>
                <w:rFonts w:ascii="Avenir Next LT Pro Light" w:eastAsia="Times New Roman" w:hAnsi="Avenir Next LT Pro Light" w:cs="Arial"/>
                <w:color w:val="131314"/>
                <w:kern w:val="24"/>
                <w:sz w:val="17"/>
                <w:szCs w:val="17"/>
              </w:rPr>
              <w:t>Available at rural hospitals and healthcare centers</w:t>
            </w:r>
          </w:p>
        </w:tc>
      </w:tr>
    </w:tbl>
    <w:p w14:paraId="5867BBA0" w14:textId="77777777" w:rsidR="00D21A76" w:rsidRDefault="00D21A76">
      <w:pPr>
        <w:rPr>
          <w:rFonts w:ascii="Avenir Next LT Pro" w:hAnsi="Avenir Next LT Pro"/>
          <w:sz w:val="16"/>
          <w:szCs w:val="16"/>
        </w:rPr>
      </w:pPr>
    </w:p>
    <w:p w14:paraId="24CE5B7E" w14:textId="77777777" w:rsidR="005C65DE" w:rsidRPr="005C65DE" w:rsidRDefault="005C65DE" w:rsidP="005C65DE">
      <w:pPr>
        <w:spacing w:after="0" w:line="240" w:lineRule="auto"/>
        <w:rPr>
          <w:rFonts w:eastAsia="Times New Roman"/>
          <w:kern w:val="0"/>
          <w:sz w:val="18"/>
          <w:szCs w:val="18"/>
          <w14:ligatures w14:val="none"/>
        </w:rPr>
      </w:pPr>
      <w:r w:rsidRPr="005C65DE">
        <w:rPr>
          <w:rFonts w:ascii="Avenir Next LT Pro" w:eastAsia="+mn-ea" w:hAnsi="Avenir Next LT Pro" w:cs="+mn-cs"/>
          <w:color w:val="001B5E"/>
          <w:kern w:val="24"/>
          <w:sz w:val="18"/>
          <w:szCs w:val="18"/>
          <w14:ligatures w14:val="none"/>
        </w:rPr>
        <w:t>Performer’s choice:</w:t>
      </w:r>
    </w:p>
    <w:p w14:paraId="4282668A" w14:textId="77777777" w:rsidR="005C65DE" w:rsidRPr="00E36798" w:rsidRDefault="005C65DE" w:rsidP="005C65DE">
      <w:pPr>
        <w:numPr>
          <w:ilvl w:val="0"/>
          <w:numId w:val="3"/>
        </w:numPr>
        <w:spacing w:after="0" w:line="240" w:lineRule="auto"/>
        <w:ind w:left="720"/>
        <w:contextualSpacing/>
        <w:rPr>
          <w:rFonts w:eastAsia="Times New Roman"/>
          <w:kern w:val="0"/>
          <w:sz w:val="18"/>
          <w:szCs w:val="18"/>
          <w14:ligatures w14:val="none"/>
        </w:rPr>
      </w:pPr>
      <w:r w:rsidRPr="005C65DE">
        <w:rPr>
          <w:rFonts w:ascii="Avenir Next LT Pro" w:eastAsia="+mn-ea" w:hAnsi="Avenir Next LT Pro" w:cs="+mn-cs"/>
          <w:color w:val="FD4497"/>
          <w:kern w:val="24"/>
          <w:sz w:val="18"/>
          <w:szCs w:val="18"/>
          <w14:ligatures w14:val="none"/>
        </w:rPr>
        <w:t xml:space="preserve">Performer selects 2 lymphatic functional </w:t>
      </w:r>
      <w:proofErr w:type="gramStart"/>
      <w:r w:rsidRPr="005C65DE">
        <w:rPr>
          <w:rFonts w:ascii="Avenir Next LT Pro" w:eastAsia="+mn-ea" w:hAnsi="Avenir Next LT Pro" w:cs="+mn-cs"/>
          <w:color w:val="FD4497"/>
          <w:kern w:val="24"/>
          <w:sz w:val="18"/>
          <w:szCs w:val="18"/>
          <w14:ligatures w14:val="none"/>
        </w:rPr>
        <w:t>efficacy</w:t>
      </w:r>
      <w:proofErr w:type="gramEnd"/>
      <w:r w:rsidRPr="005C65DE">
        <w:rPr>
          <w:rFonts w:ascii="Avenir Next LT Pro" w:eastAsia="+mn-ea" w:hAnsi="Avenir Next LT Pro" w:cs="+mn-cs"/>
          <w:color w:val="FD4497"/>
          <w:kern w:val="24"/>
          <w:sz w:val="18"/>
          <w:szCs w:val="18"/>
          <w14:ligatures w14:val="none"/>
        </w:rPr>
        <w:t xml:space="preserve"> (requirement is ≥1)</w:t>
      </w:r>
      <w:r w:rsidRPr="005C65DE">
        <w:rPr>
          <w:rFonts w:ascii="Avenir Next LT Pro" w:eastAsia="+mn-ea" w:hAnsi="Avenir Next LT Pro" w:cs="+mn-cs"/>
          <w:i/>
          <w:iCs/>
          <w:color w:val="FD4497"/>
          <w:kern w:val="24"/>
          <w:sz w:val="18"/>
          <w:szCs w:val="18"/>
          <w14:ligatures w14:val="none"/>
        </w:rPr>
        <w:t>.</w:t>
      </w:r>
    </w:p>
    <w:p w14:paraId="5A9A9FBA" w14:textId="39B883D3" w:rsidR="00E36798" w:rsidRPr="007F740C" w:rsidRDefault="005C65DE" w:rsidP="00E36798">
      <w:pPr>
        <w:numPr>
          <w:ilvl w:val="0"/>
          <w:numId w:val="3"/>
        </w:numPr>
        <w:spacing w:after="0" w:line="240" w:lineRule="auto"/>
        <w:ind w:left="720"/>
        <w:contextualSpacing/>
        <w:rPr>
          <w:rFonts w:eastAsia="Times New Roman"/>
          <w:kern w:val="0"/>
          <w:sz w:val="18"/>
          <w:szCs w:val="18"/>
          <w14:ligatures w14:val="none"/>
        </w:rPr>
      </w:pPr>
      <w:r w:rsidRPr="00E36798">
        <w:rPr>
          <w:rFonts w:ascii="Avenir Next LT Pro" w:eastAsia="+mn-ea" w:hAnsi="Avenir Next LT Pro" w:cs="+mn-cs"/>
          <w:i/>
          <w:iCs/>
          <w:color w:val="18AE9D"/>
          <w:kern w:val="24"/>
          <w:sz w:val="18"/>
          <w:szCs w:val="18"/>
          <w14:ligatures w14:val="none"/>
        </w:rPr>
        <w:t xml:space="preserve">Examples of efficacy targets related to BCRL and product specification categories. This should be expanded and tailored to the proposed technology and disease </w:t>
      </w:r>
      <w:r w:rsidR="00195C14">
        <w:rPr>
          <w:rFonts w:ascii="Avenir Next LT Pro" w:eastAsia="+mn-ea" w:hAnsi="Avenir Next LT Pro" w:cs="+mn-cs"/>
          <w:i/>
          <w:iCs/>
          <w:color w:val="18AE9D"/>
          <w:kern w:val="24"/>
          <w:sz w:val="18"/>
          <w:szCs w:val="18"/>
          <w14:ligatures w14:val="none"/>
        </w:rPr>
        <w:t>indication.</w:t>
      </w:r>
    </w:p>
    <w:p w14:paraId="473A8D20" w14:textId="5137DA78" w:rsidR="007F740C" w:rsidRDefault="007F740C">
      <w:pPr>
        <w:rPr>
          <w:rFonts w:ascii="Avenir Next LT Pro" w:eastAsia="+mn-ea" w:hAnsi="Avenir Next LT Pro" w:cs="+mn-cs"/>
          <w:i/>
          <w:iCs/>
          <w:color w:val="18AE9D"/>
          <w:kern w:val="24"/>
          <w:sz w:val="18"/>
          <w:szCs w:val="18"/>
          <w14:ligatures w14:val="none"/>
        </w:rPr>
      </w:pPr>
      <w:r>
        <w:rPr>
          <w:rFonts w:ascii="Avenir Next LT Pro" w:eastAsia="+mn-ea" w:hAnsi="Avenir Next LT Pro" w:cs="+mn-cs"/>
          <w:i/>
          <w:iCs/>
          <w:color w:val="18AE9D"/>
          <w:kern w:val="24"/>
          <w:sz w:val="18"/>
          <w:szCs w:val="18"/>
          <w14:ligatures w14:val="none"/>
        </w:rPr>
        <w:br w:type="page"/>
      </w:r>
    </w:p>
    <w:p w14:paraId="66C4FEF7" w14:textId="18DDD56D" w:rsidR="007F740C" w:rsidRDefault="00AC5F72" w:rsidP="007F740C">
      <w:pPr>
        <w:spacing w:after="0" w:line="240" w:lineRule="auto"/>
        <w:contextualSpacing/>
        <w:rPr>
          <w:rFonts w:ascii="Avenir Next LT Pro" w:eastAsia="Times New Roman" w:hAnsi="Avenir Next LT Pro"/>
          <w:b/>
          <w:bCs/>
          <w:kern w:val="0"/>
          <w14:ligatures w14:val="none"/>
        </w:rPr>
      </w:pPr>
      <w:r w:rsidRPr="00AC5F72">
        <w:rPr>
          <w:rFonts w:ascii="Avenir Next LT Pro" w:eastAsia="Times New Roman" w:hAnsi="Avenir Next LT Pro"/>
          <w:b/>
          <w:bCs/>
          <w:kern w:val="0"/>
          <w14:ligatures w14:val="none"/>
        </w:rPr>
        <w:lastRenderedPageBreak/>
        <w:t>TA2 Target Product Profile (TPP): Example - Inflammatory Bowel Diseases (IBD)</w:t>
      </w:r>
    </w:p>
    <w:p w14:paraId="6F2AE716" w14:textId="77777777" w:rsidR="00AC5F72" w:rsidRDefault="00AC5F72" w:rsidP="007F740C">
      <w:pPr>
        <w:spacing w:after="0" w:line="240" w:lineRule="auto"/>
        <w:contextualSpacing/>
        <w:rPr>
          <w:rFonts w:ascii="Avenir Next LT Pro" w:eastAsia="Times New Roman" w:hAnsi="Avenir Next LT Pro"/>
          <w:b/>
          <w:bCs/>
          <w:kern w:val="0"/>
          <w14:ligatures w14:val="none"/>
        </w:rPr>
      </w:pPr>
    </w:p>
    <w:p w14:paraId="6897BA8B" w14:textId="734C673E" w:rsidR="00AC5F72" w:rsidRDefault="006F5EDC" w:rsidP="007F740C">
      <w:pPr>
        <w:spacing w:after="0" w:line="240" w:lineRule="auto"/>
        <w:contextualSpacing/>
        <w:rPr>
          <w:rFonts w:ascii="Avenir Next LT Pro" w:eastAsia="Times New Roman" w:hAnsi="Avenir Next LT Pro"/>
          <w:kern w:val="0"/>
          <w:sz w:val="18"/>
          <w:szCs w:val="18"/>
          <w14:ligatures w14:val="none"/>
        </w:rPr>
      </w:pPr>
      <w:r w:rsidRPr="006F5EDC">
        <w:rPr>
          <w:rFonts w:ascii="Avenir Next LT Pro" w:eastAsia="Times New Roman" w:hAnsi="Avenir Next LT Pro"/>
          <w:kern w:val="0"/>
          <w:sz w:val="18"/>
          <w:szCs w:val="18"/>
          <w14:ligatures w14:val="none"/>
        </w:rPr>
        <w:t>The example TPP, below, is meant to provide general guidance on how performers may complete a TPP for a specific disease indication. The specific targets outlined and the efficacy metrics in this example are not requirements or formal suggestions. Performers should tailor the TPP to their specific technology.</w:t>
      </w:r>
    </w:p>
    <w:p w14:paraId="16371F4A" w14:textId="77777777" w:rsidR="006F5EDC" w:rsidRDefault="006F5EDC" w:rsidP="007F740C">
      <w:pPr>
        <w:spacing w:after="0" w:line="240" w:lineRule="auto"/>
        <w:contextualSpacing/>
        <w:rPr>
          <w:rFonts w:ascii="Avenir Next LT Pro" w:eastAsia="Times New Roman" w:hAnsi="Avenir Next LT Pro"/>
          <w:kern w:val="0"/>
          <w:sz w:val="18"/>
          <w:szCs w:val="18"/>
          <w14:ligatures w14:val="none"/>
        </w:rPr>
      </w:pPr>
    </w:p>
    <w:tbl>
      <w:tblPr>
        <w:tblW w:w="0" w:type="auto"/>
        <w:tblCellMar>
          <w:left w:w="0" w:type="dxa"/>
          <w:right w:w="0" w:type="dxa"/>
        </w:tblCellMar>
        <w:tblLook w:val="0420" w:firstRow="1" w:lastRow="0" w:firstColumn="0" w:lastColumn="0" w:noHBand="0" w:noVBand="1"/>
      </w:tblPr>
      <w:tblGrid>
        <w:gridCol w:w="917"/>
        <w:gridCol w:w="2377"/>
        <w:gridCol w:w="3018"/>
        <w:gridCol w:w="3032"/>
      </w:tblGrid>
      <w:tr w:rsidR="006F5EDC" w:rsidRPr="006F5EDC" w14:paraId="56E5BEC2" w14:textId="77777777" w:rsidTr="006F5EDC">
        <w:tc>
          <w:tcPr>
            <w:tcW w:w="0" w:type="auto"/>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357359DE"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Product description/Therapeutic Modality</w:t>
            </w:r>
          </w:p>
        </w:tc>
        <w:tc>
          <w:tcPr>
            <w:tcW w:w="0" w:type="auto"/>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254B5AC3"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Novel small molecule therapy</w:t>
            </w:r>
          </w:p>
        </w:tc>
      </w:tr>
      <w:tr w:rsidR="006F5EDC" w:rsidRPr="006F5EDC" w14:paraId="35296C9A" w14:textId="77777777" w:rsidTr="006F5EDC">
        <w:tc>
          <w:tcPr>
            <w:tcW w:w="0" w:type="auto"/>
            <w:gridSpan w:val="2"/>
            <w:tcBorders>
              <w:top w:val="single" w:sz="6" w:space="0" w:color="7F7F7F"/>
              <w:left w:val="single" w:sz="6" w:space="0" w:color="7F7F7F"/>
              <w:bottom w:val="single" w:sz="6" w:space="0" w:color="7F7F7F"/>
              <w:right w:val="single" w:sz="6" w:space="0" w:color="7F7F7F"/>
            </w:tcBorders>
            <w:shd w:val="clear" w:color="auto" w:fill="C9F4FB"/>
            <w:tcMar>
              <w:top w:w="29" w:type="dxa"/>
              <w:left w:w="58" w:type="dxa"/>
              <w:bottom w:w="29" w:type="dxa"/>
              <w:right w:w="29" w:type="dxa"/>
            </w:tcMar>
            <w:hideMark/>
          </w:tcPr>
          <w:p w14:paraId="46D40319"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b/>
                <w:bCs/>
                <w:color w:val="131314"/>
                <w:kern w:val="24"/>
                <w:sz w:val="17"/>
                <w:szCs w:val="17"/>
                <w14:ligatures w14:val="none"/>
              </w:rPr>
              <w:t>Product Target</w:t>
            </w:r>
          </w:p>
        </w:tc>
        <w:tc>
          <w:tcPr>
            <w:tcW w:w="0" w:type="auto"/>
            <w:tcBorders>
              <w:top w:val="single" w:sz="6" w:space="0" w:color="7F7F7F"/>
              <w:left w:val="single" w:sz="6" w:space="0" w:color="7F7F7F"/>
              <w:bottom w:val="single" w:sz="6" w:space="0" w:color="7F7F7F"/>
              <w:right w:val="single" w:sz="6" w:space="0" w:color="7F7F7F"/>
            </w:tcBorders>
            <w:shd w:val="clear" w:color="auto" w:fill="C9F4FB"/>
            <w:tcMar>
              <w:top w:w="29" w:type="dxa"/>
              <w:left w:w="58" w:type="dxa"/>
              <w:bottom w:w="29" w:type="dxa"/>
              <w:right w:w="29" w:type="dxa"/>
            </w:tcMar>
            <w:hideMark/>
          </w:tcPr>
          <w:p w14:paraId="4E87C221"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b/>
                <w:bCs/>
                <w:color w:val="131314"/>
                <w:kern w:val="24"/>
                <w:sz w:val="17"/>
                <w:szCs w:val="17"/>
                <w14:ligatures w14:val="none"/>
              </w:rPr>
              <w:t>Minimal Acceptable Results</w:t>
            </w:r>
          </w:p>
        </w:tc>
        <w:tc>
          <w:tcPr>
            <w:tcW w:w="0" w:type="auto"/>
            <w:tcBorders>
              <w:top w:val="single" w:sz="6" w:space="0" w:color="7F7F7F"/>
              <w:left w:val="single" w:sz="6" w:space="0" w:color="7F7F7F"/>
              <w:bottom w:val="single" w:sz="6" w:space="0" w:color="7F7F7F"/>
              <w:right w:val="single" w:sz="6" w:space="0" w:color="7F7F7F"/>
            </w:tcBorders>
            <w:shd w:val="clear" w:color="auto" w:fill="C9F4FB"/>
            <w:tcMar>
              <w:top w:w="29" w:type="dxa"/>
              <w:left w:w="58" w:type="dxa"/>
              <w:bottom w:w="29" w:type="dxa"/>
              <w:right w:w="29" w:type="dxa"/>
            </w:tcMar>
            <w:hideMark/>
          </w:tcPr>
          <w:p w14:paraId="492F42FB"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b/>
                <w:bCs/>
                <w:color w:val="131314"/>
                <w:kern w:val="24"/>
                <w:sz w:val="17"/>
                <w:szCs w:val="17"/>
                <w14:ligatures w14:val="none"/>
              </w:rPr>
              <w:t>Optimal Results</w:t>
            </w:r>
          </w:p>
        </w:tc>
      </w:tr>
      <w:tr w:rsidR="006F5EDC" w:rsidRPr="006F5EDC" w14:paraId="60515BD3" w14:textId="77777777" w:rsidTr="006F5EDC">
        <w:tc>
          <w:tcPr>
            <w:tcW w:w="0" w:type="auto"/>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11382C7C"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Primary Product Indication</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330F5109"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000000"/>
                <w:kern w:val="24"/>
                <w:sz w:val="17"/>
                <w:szCs w:val="17"/>
                <w14:ligatures w14:val="none"/>
              </w:rPr>
              <w:t>Treatment of mild to moderate IBD and mitigation of abdominal pain</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6DA4A4C0"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000000"/>
                <w:kern w:val="24"/>
                <w:sz w:val="17"/>
                <w:szCs w:val="17"/>
                <w14:ligatures w14:val="none"/>
              </w:rPr>
              <w:t>Complete curative therapy of IBD.</w:t>
            </w:r>
          </w:p>
        </w:tc>
      </w:tr>
      <w:tr w:rsidR="006F5EDC" w:rsidRPr="006F5EDC" w14:paraId="3C24F320" w14:textId="77777777" w:rsidTr="006F5EDC">
        <w:tc>
          <w:tcPr>
            <w:tcW w:w="0" w:type="auto"/>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2C3C9415"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Patient Population</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2B09A8B8"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000000"/>
                <w:kern w:val="24"/>
                <w:sz w:val="17"/>
                <w:szCs w:val="17"/>
                <w14:ligatures w14:val="none"/>
              </w:rPr>
              <w:t>Adults with Crohn’s Disease OR Ulcerative Colitis</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2C9A7270"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000000"/>
                <w:kern w:val="24"/>
                <w:sz w:val="17"/>
                <w:szCs w:val="17"/>
                <w14:ligatures w14:val="none"/>
              </w:rPr>
              <w:t>All IBD patients (Crohn’s Disease AND Ulcerative Colitis)</w:t>
            </w:r>
          </w:p>
        </w:tc>
      </w:tr>
      <w:tr w:rsidR="006F5EDC" w:rsidRPr="006F5EDC" w14:paraId="58066790" w14:textId="77777777" w:rsidTr="006F5EDC">
        <w:trPr>
          <w:trHeight w:val="228"/>
        </w:trPr>
        <w:tc>
          <w:tcPr>
            <w:tcW w:w="0" w:type="auto"/>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708FF48E"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Treatment Duration</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5DA5D4EF"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000000"/>
                <w:kern w:val="24"/>
                <w:sz w:val="17"/>
                <w:szCs w:val="17"/>
                <w14:ligatures w14:val="none"/>
              </w:rPr>
              <w:t>Lifetime use</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3DE6BDA6"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000000"/>
                <w:kern w:val="24"/>
                <w:sz w:val="17"/>
                <w:szCs w:val="17"/>
                <w14:ligatures w14:val="none"/>
              </w:rPr>
              <w:t>&lt;1 year</w:t>
            </w:r>
          </w:p>
        </w:tc>
      </w:tr>
      <w:tr w:rsidR="006F5EDC" w:rsidRPr="006F5EDC" w14:paraId="05A0C5AE" w14:textId="77777777" w:rsidTr="006F5EDC">
        <w:tc>
          <w:tcPr>
            <w:tcW w:w="0" w:type="auto"/>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08BFEC7D"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Delivery Mode</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45E01D79"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000000"/>
                <w:kern w:val="24"/>
                <w:sz w:val="17"/>
                <w:szCs w:val="17"/>
                <w14:ligatures w14:val="none"/>
              </w:rPr>
              <w:t>Achieves &gt;30% cumulative dosing directly into the mesenteric LS in first 12 hours</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41D78F49"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000000"/>
                <w:kern w:val="24"/>
                <w:sz w:val="17"/>
                <w:szCs w:val="17"/>
                <w14:ligatures w14:val="none"/>
              </w:rPr>
              <w:t>Achieves &gt;45% cumulative dosing directly into the mesenteric LS in first 12 hours.</w:t>
            </w:r>
          </w:p>
        </w:tc>
      </w:tr>
      <w:tr w:rsidR="006F5EDC" w:rsidRPr="006F5EDC" w14:paraId="3DFC4CC4" w14:textId="77777777" w:rsidTr="006F5EDC">
        <w:tc>
          <w:tcPr>
            <w:tcW w:w="0" w:type="auto"/>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03CC55BE"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Quality of Life</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51020FF9"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000000"/>
                <w:kern w:val="24"/>
                <w:sz w:val="17"/>
                <w:szCs w:val="17"/>
                <w14:ligatures w14:val="none"/>
              </w:rPr>
              <w:t xml:space="preserve">&gt;75% of patients improve by </w:t>
            </w:r>
            <w:r w:rsidRPr="006F5EDC">
              <w:rPr>
                <w:rFonts w:ascii="Avenir Next LT Pro Light" w:eastAsia="Times New Roman" w:hAnsi="Avenir Next LT Pro Light" w:cs="Arial"/>
                <w:color w:val="131314"/>
                <w:kern w:val="24"/>
                <w:sz w:val="17"/>
                <w:szCs w:val="17"/>
                <w14:ligatures w14:val="none"/>
              </w:rPr>
              <w:t>≥32 points (IBD Questionnaire)</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572B94E7"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000000"/>
                <w:kern w:val="24"/>
                <w:sz w:val="17"/>
                <w:szCs w:val="17"/>
                <w14:ligatures w14:val="none"/>
              </w:rPr>
              <w:t xml:space="preserve">&gt;95% of patients improve by </w:t>
            </w:r>
            <w:r w:rsidRPr="006F5EDC">
              <w:rPr>
                <w:rFonts w:ascii="Avenir Next LT Pro Light" w:eastAsia="Times New Roman" w:hAnsi="Avenir Next LT Pro Light" w:cs="Arial"/>
                <w:color w:val="131314"/>
                <w:kern w:val="24"/>
                <w:sz w:val="17"/>
                <w:szCs w:val="17"/>
                <w14:ligatures w14:val="none"/>
              </w:rPr>
              <w:t>≥32 points (IBD Questionnaire)</w:t>
            </w:r>
          </w:p>
        </w:tc>
      </w:tr>
      <w:tr w:rsidR="006F5EDC" w:rsidRPr="006F5EDC" w14:paraId="212B1ED8" w14:textId="77777777" w:rsidTr="006F5EDC">
        <w:tc>
          <w:tcPr>
            <w:tcW w:w="0" w:type="auto"/>
            <w:gridSpan w:val="2"/>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1319D5CB"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Adverse Event Rate</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612B975F"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000000"/>
                <w:kern w:val="24"/>
                <w:sz w:val="17"/>
                <w:szCs w:val="17"/>
                <w14:ligatures w14:val="none"/>
              </w:rPr>
              <w:t>&lt;5% of patients develop adverse events (≥ Grade III)</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15" w:type="dxa"/>
              <w:left w:w="108" w:type="dxa"/>
              <w:bottom w:w="0" w:type="dxa"/>
              <w:right w:w="108" w:type="dxa"/>
            </w:tcMar>
            <w:hideMark/>
          </w:tcPr>
          <w:p w14:paraId="605B146A"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000000"/>
                <w:kern w:val="24"/>
                <w:sz w:val="17"/>
                <w:szCs w:val="17"/>
                <w14:ligatures w14:val="none"/>
              </w:rPr>
              <w:t>&lt;3% of patients develop adverse events (≥ Grade II)</w:t>
            </w:r>
          </w:p>
        </w:tc>
      </w:tr>
      <w:tr w:rsidR="006F5EDC" w:rsidRPr="006F5EDC" w14:paraId="1681E232" w14:textId="77777777" w:rsidTr="006F5EDC">
        <w:tc>
          <w:tcPr>
            <w:tcW w:w="712" w:type="dxa"/>
            <w:vMerge w:val="restar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textDirection w:val="btLr"/>
            <w:hideMark/>
          </w:tcPr>
          <w:p w14:paraId="0E4B135F"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Lymphatic Functional Efficacy Targets</w:t>
            </w:r>
            <w:r w:rsidRPr="006F5EDC">
              <w:rPr>
                <w:rFonts w:ascii="Avenir Next LT Pro Light" w:eastAsia="Times New Roman" w:hAnsi="Avenir Next LT Pro Light" w:cs="Arial"/>
                <w:color w:val="FD4497"/>
                <w:kern w:val="24"/>
                <w:position w:val="5"/>
                <w:sz w:val="17"/>
                <w:szCs w:val="17"/>
                <w:vertAlign w:val="superscript"/>
                <w14:ligatures w14:val="none"/>
              </w:rPr>
              <w:t>1</w:t>
            </w:r>
            <w:r w:rsidRPr="006F5EDC">
              <w:rPr>
                <w:rFonts w:ascii="Avenir Next LT Pro Light" w:eastAsia="Times New Roman" w:hAnsi="Avenir Next LT Pro Light" w:cs="Arial"/>
                <w:color w:val="131314"/>
                <w:kern w:val="24"/>
                <w:sz w:val="17"/>
                <w:szCs w:val="17"/>
                <w14:ligatures w14:val="none"/>
              </w:rPr>
              <w:t xml:space="preserve"> (</w:t>
            </w:r>
            <w:r w:rsidRPr="006F5EDC">
              <w:rPr>
                <w:rFonts w:ascii="Avenir Next LT Pro Light" w:eastAsia="Times New Roman" w:hAnsi="Avenir Next LT Pro Light" w:cs="Arial"/>
                <w:color w:val="FD4497"/>
                <w:kern w:val="24"/>
                <w:sz w:val="17"/>
                <w:szCs w:val="17"/>
                <w14:ligatures w14:val="none"/>
              </w:rPr>
              <w:t>pick ≥2</w:t>
            </w:r>
            <w:r w:rsidRPr="006F5EDC">
              <w:rPr>
                <w:rFonts w:ascii="Avenir Next LT Pro Light" w:eastAsia="Times New Roman" w:hAnsi="Avenir Next LT Pro Light" w:cs="Arial"/>
                <w:color w:val="131314"/>
                <w:kern w:val="24"/>
                <w:sz w:val="17"/>
                <w:szCs w:val="17"/>
                <w14:ligatures w14:val="none"/>
              </w:rPr>
              <w:t>)</w:t>
            </w:r>
          </w:p>
        </w:tc>
        <w:tc>
          <w:tcPr>
            <w:tcW w:w="1846"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7132E140"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b/>
                <w:bCs/>
                <w:color w:val="FD4497"/>
                <w:kern w:val="24"/>
                <w:sz w:val="17"/>
                <w:szCs w:val="17"/>
                <w14:ligatures w14:val="none"/>
              </w:rPr>
              <w:t>Lymphatic Vessel Density/Vascular Area</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47F847DD"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FD4497"/>
                <w:kern w:val="24"/>
                <w:sz w:val="17"/>
                <w:szCs w:val="17"/>
                <w14:ligatures w14:val="none"/>
              </w:rPr>
              <w:t>&gt;100% increase of lymphatic vascular area in colon</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1AE9CD9E"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FD4497"/>
                <w:kern w:val="24"/>
                <w:sz w:val="17"/>
                <w:szCs w:val="17"/>
                <w14:ligatures w14:val="none"/>
              </w:rPr>
              <w:t>&gt;200% increase of lymphatic vascular area in colon</w:t>
            </w:r>
          </w:p>
        </w:tc>
      </w:tr>
      <w:tr w:rsidR="006F5EDC" w:rsidRPr="006F5EDC" w14:paraId="6A2A2BFE" w14:textId="77777777" w:rsidTr="006F5EDC">
        <w:tc>
          <w:tcPr>
            <w:tcW w:w="712" w:type="dxa"/>
            <w:vMerge/>
            <w:tcBorders>
              <w:top w:val="single" w:sz="6" w:space="0" w:color="7F7F7F"/>
              <w:left w:val="single" w:sz="6" w:space="0" w:color="7F7F7F"/>
              <w:bottom w:val="single" w:sz="6" w:space="0" w:color="7F7F7F"/>
              <w:right w:val="single" w:sz="6" w:space="0" w:color="7F7F7F"/>
            </w:tcBorders>
            <w:vAlign w:val="center"/>
            <w:hideMark/>
          </w:tcPr>
          <w:p w14:paraId="0FCF49B2" w14:textId="77777777" w:rsidR="006F5EDC" w:rsidRPr="006F5EDC" w:rsidRDefault="006F5EDC" w:rsidP="006F5EDC">
            <w:pPr>
              <w:spacing w:after="0" w:line="240" w:lineRule="auto"/>
              <w:rPr>
                <w:rFonts w:ascii="Arial" w:eastAsia="Times New Roman" w:hAnsi="Arial" w:cs="Arial"/>
                <w:kern w:val="0"/>
                <w:sz w:val="17"/>
                <w:szCs w:val="17"/>
                <w14:ligatures w14:val="none"/>
              </w:rPr>
            </w:pPr>
          </w:p>
        </w:tc>
        <w:tc>
          <w:tcPr>
            <w:tcW w:w="1846"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1E4AE79D"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b/>
                <w:bCs/>
                <w:color w:val="FD4497"/>
                <w:kern w:val="24"/>
                <w:sz w:val="17"/>
                <w:szCs w:val="17"/>
                <w14:ligatures w14:val="none"/>
              </w:rPr>
              <w:t>Lymphatic Transport</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3AA4437C"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FD4497"/>
                <w:kern w:val="24"/>
                <w:sz w:val="17"/>
                <w:szCs w:val="17"/>
                <w14:ligatures w14:val="none"/>
              </w:rPr>
              <w:t>6-hour postprandial tracer levels in blood: &gt;18 mg/dL</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4ABDB088"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FD4497"/>
                <w:kern w:val="24"/>
                <w:sz w:val="17"/>
                <w:szCs w:val="17"/>
                <w14:ligatures w14:val="none"/>
              </w:rPr>
              <w:t>6-hour postprandial tracer levels in blood: &gt;25 mg/dL</w:t>
            </w:r>
          </w:p>
        </w:tc>
      </w:tr>
      <w:tr w:rsidR="006F5EDC" w:rsidRPr="006F5EDC" w14:paraId="443F4949" w14:textId="77777777" w:rsidTr="006F5EDC">
        <w:tc>
          <w:tcPr>
            <w:tcW w:w="712" w:type="dxa"/>
            <w:vMerge/>
            <w:tcBorders>
              <w:top w:val="single" w:sz="6" w:space="0" w:color="7F7F7F"/>
              <w:left w:val="single" w:sz="6" w:space="0" w:color="7F7F7F"/>
              <w:bottom w:val="single" w:sz="6" w:space="0" w:color="7F7F7F"/>
              <w:right w:val="single" w:sz="6" w:space="0" w:color="7F7F7F"/>
            </w:tcBorders>
            <w:vAlign w:val="center"/>
            <w:hideMark/>
          </w:tcPr>
          <w:p w14:paraId="6EE6A043" w14:textId="77777777" w:rsidR="006F5EDC" w:rsidRPr="006F5EDC" w:rsidRDefault="006F5EDC" w:rsidP="006F5EDC">
            <w:pPr>
              <w:spacing w:after="0" w:line="240" w:lineRule="auto"/>
              <w:rPr>
                <w:rFonts w:ascii="Arial" w:eastAsia="Times New Roman" w:hAnsi="Arial" w:cs="Arial"/>
                <w:kern w:val="0"/>
                <w:sz w:val="17"/>
                <w:szCs w:val="17"/>
                <w14:ligatures w14:val="none"/>
              </w:rPr>
            </w:pPr>
          </w:p>
        </w:tc>
        <w:tc>
          <w:tcPr>
            <w:tcW w:w="1846"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209F273F"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Lymphatic Pressure</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14B16DF0" w14:textId="77777777" w:rsidR="006F5EDC" w:rsidRPr="006F5EDC" w:rsidRDefault="006F5EDC" w:rsidP="006F5EDC">
            <w:pPr>
              <w:spacing w:after="0" w:line="240" w:lineRule="auto"/>
              <w:rPr>
                <w:rFonts w:ascii="Arial" w:eastAsia="Times New Roman" w:hAnsi="Arial" w:cs="Arial"/>
                <w:kern w:val="0"/>
                <w:sz w:val="17"/>
                <w:szCs w:val="17"/>
                <w14:ligatures w14:val="none"/>
              </w:rPr>
            </w:pP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75D33FB0" w14:textId="77777777" w:rsidR="006F5EDC" w:rsidRPr="006F5EDC" w:rsidRDefault="006F5EDC" w:rsidP="006F5EDC">
            <w:pPr>
              <w:spacing w:after="0" w:line="240" w:lineRule="auto"/>
              <w:rPr>
                <w:rFonts w:eastAsia="Times New Roman"/>
                <w:kern w:val="0"/>
                <w:sz w:val="17"/>
                <w:szCs w:val="17"/>
                <w14:ligatures w14:val="none"/>
              </w:rPr>
            </w:pPr>
          </w:p>
        </w:tc>
      </w:tr>
      <w:tr w:rsidR="006F5EDC" w:rsidRPr="006F5EDC" w14:paraId="7F15D307" w14:textId="77777777" w:rsidTr="006F5EDC">
        <w:tc>
          <w:tcPr>
            <w:tcW w:w="712" w:type="dxa"/>
            <w:vMerge/>
            <w:tcBorders>
              <w:top w:val="single" w:sz="6" w:space="0" w:color="7F7F7F"/>
              <w:left w:val="single" w:sz="6" w:space="0" w:color="7F7F7F"/>
              <w:bottom w:val="single" w:sz="6" w:space="0" w:color="7F7F7F"/>
              <w:right w:val="single" w:sz="6" w:space="0" w:color="7F7F7F"/>
            </w:tcBorders>
            <w:vAlign w:val="center"/>
            <w:hideMark/>
          </w:tcPr>
          <w:p w14:paraId="4AEB4338" w14:textId="77777777" w:rsidR="006F5EDC" w:rsidRPr="006F5EDC" w:rsidRDefault="006F5EDC" w:rsidP="006F5EDC">
            <w:pPr>
              <w:spacing w:after="0" w:line="240" w:lineRule="auto"/>
              <w:rPr>
                <w:rFonts w:ascii="Arial" w:eastAsia="Times New Roman" w:hAnsi="Arial" w:cs="Arial"/>
                <w:kern w:val="0"/>
                <w:sz w:val="17"/>
                <w:szCs w:val="17"/>
                <w14:ligatures w14:val="none"/>
              </w:rPr>
            </w:pPr>
          </w:p>
        </w:tc>
        <w:tc>
          <w:tcPr>
            <w:tcW w:w="1846"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3E7EA30C"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Lymphatic Vessel Contractility</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1B41C5D3" w14:textId="77777777" w:rsidR="006F5EDC" w:rsidRPr="006F5EDC" w:rsidRDefault="006F5EDC" w:rsidP="006F5EDC">
            <w:pPr>
              <w:spacing w:after="0" w:line="240" w:lineRule="auto"/>
              <w:rPr>
                <w:rFonts w:ascii="Arial" w:eastAsia="Times New Roman" w:hAnsi="Arial" w:cs="Arial"/>
                <w:kern w:val="0"/>
                <w:sz w:val="17"/>
                <w:szCs w:val="17"/>
                <w14:ligatures w14:val="none"/>
              </w:rPr>
            </w:pP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454EE78D" w14:textId="77777777" w:rsidR="006F5EDC" w:rsidRPr="006F5EDC" w:rsidRDefault="006F5EDC" w:rsidP="006F5EDC">
            <w:pPr>
              <w:spacing w:after="0" w:line="240" w:lineRule="auto"/>
              <w:rPr>
                <w:rFonts w:eastAsia="Times New Roman"/>
                <w:kern w:val="0"/>
                <w:sz w:val="17"/>
                <w:szCs w:val="17"/>
                <w14:ligatures w14:val="none"/>
              </w:rPr>
            </w:pPr>
          </w:p>
        </w:tc>
      </w:tr>
      <w:tr w:rsidR="006F5EDC" w:rsidRPr="006F5EDC" w14:paraId="3671C7E1" w14:textId="77777777" w:rsidTr="006F5EDC">
        <w:tc>
          <w:tcPr>
            <w:tcW w:w="712" w:type="dxa"/>
            <w:vMerge w:val="restar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textDirection w:val="btLr"/>
            <w:hideMark/>
          </w:tcPr>
          <w:p w14:paraId="034DA656"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 xml:space="preserve"> Disease Specific </w:t>
            </w:r>
            <w:proofErr w:type="gramStart"/>
            <w:r w:rsidRPr="006F5EDC">
              <w:rPr>
                <w:rFonts w:ascii="Avenir Next LT Pro Light" w:eastAsia="Times New Roman" w:hAnsi="Avenir Next LT Pro Light" w:cs="Arial"/>
                <w:color w:val="131314"/>
                <w:kern w:val="24"/>
                <w:sz w:val="17"/>
                <w:szCs w:val="17"/>
                <w14:ligatures w14:val="none"/>
              </w:rPr>
              <w:t>Efficacy  Targets</w:t>
            </w:r>
            <w:proofErr w:type="gramEnd"/>
            <w:r w:rsidRPr="006F5EDC">
              <w:rPr>
                <w:rFonts w:ascii="Avenir Next LT Pro Light" w:eastAsia="Times New Roman" w:hAnsi="Avenir Next LT Pro Light" w:cs="Arial"/>
                <w:color w:val="18AE9D"/>
                <w:kern w:val="24"/>
                <w:position w:val="5"/>
                <w:sz w:val="17"/>
                <w:szCs w:val="17"/>
                <w:vertAlign w:val="superscript"/>
                <w14:ligatures w14:val="none"/>
              </w:rPr>
              <w:t>2</w:t>
            </w:r>
          </w:p>
        </w:tc>
        <w:tc>
          <w:tcPr>
            <w:tcW w:w="1846"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54F2EF35"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8AE9D"/>
                <w:kern w:val="24"/>
                <w:sz w:val="17"/>
                <w:szCs w:val="17"/>
                <w14:ligatures w14:val="none"/>
              </w:rPr>
              <w:t xml:space="preserve">Disease Activity Score </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06CFA66B"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8AE9D"/>
                <w:kern w:val="24"/>
                <w:sz w:val="17"/>
                <w:szCs w:val="17"/>
                <w14:ligatures w14:val="none"/>
              </w:rPr>
              <w:t>Crohn’s Disease Activity Index &lt; 220, Mayo &lt;5</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672FF909"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8AE9D"/>
                <w:kern w:val="24"/>
                <w:sz w:val="17"/>
                <w:szCs w:val="17"/>
                <w14:ligatures w14:val="none"/>
              </w:rPr>
              <w:t>Crohn’s Disease Activity Index &lt; 150, Mayo &lt;2</w:t>
            </w:r>
          </w:p>
        </w:tc>
      </w:tr>
      <w:tr w:rsidR="006F5EDC" w:rsidRPr="006F5EDC" w14:paraId="046FF743" w14:textId="77777777" w:rsidTr="006F5EDC">
        <w:tc>
          <w:tcPr>
            <w:tcW w:w="712" w:type="dxa"/>
            <w:vMerge/>
            <w:tcBorders>
              <w:top w:val="single" w:sz="6" w:space="0" w:color="7F7F7F"/>
              <w:left w:val="single" w:sz="6" w:space="0" w:color="7F7F7F"/>
              <w:bottom w:val="single" w:sz="6" w:space="0" w:color="7F7F7F"/>
              <w:right w:val="single" w:sz="6" w:space="0" w:color="7F7F7F"/>
            </w:tcBorders>
            <w:vAlign w:val="center"/>
            <w:hideMark/>
          </w:tcPr>
          <w:p w14:paraId="460DD502" w14:textId="77777777" w:rsidR="006F5EDC" w:rsidRPr="006F5EDC" w:rsidRDefault="006F5EDC" w:rsidP="006F5EDC">
            <w:pPr>
              <w:spacing w:after="0" w:line="240" w:lineRule="auto"/>
              <w:rPr>
                <w:rFonts w:ascii="Arial" w:eastAsia="Times New Roman" w:hAnsi="Arial" w:cs="Arial"/>
                <w:kern w:val="0"/>
                <w:sz w:val="17"/>
                <w:szCs w:val="17"/>
                <w14:ligatures w14:val="none"/>
              </w:rPr>
            </w:pPr>
          </w:p>
        </w:tc>
        <w:tc>
          <w:tcPr>
            <w:tcW w:w="1846"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1BB19880"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8AE9D"/>
                <w:kern w:val="24"/>
                <w:sz w:val="17"/>
                <w:szCs w:val="17"/>
                <w14:ligatures w14:val="none"/>
              </w:rPr>
              <w:t>Stool Calprotectin Levels (IBD)</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07343A20"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8AE9D"/>
                <w:kern w:val="24"/>
                <w:sz w:val="17"/>
                <w:szCs w:val="17"/>
                <w:lang w:val="el-GR"/>
                <w14:ligatures w14:val="none"/>
              </w:rPr>
              <w:t>&lt;50μ</w:t>
            </w:r>
            <w:r w:rsidRPr="006F5EDC">
              <w:rPr>
                <w:rFonts w:ascii="Avenir Next LT Pro Light" w:eastAsia="Times New Roman" w:hAnsi="Avenir Next LT Pro Light" w:cs="Arial"/>
                <w:color w:val="18AE9D"/>
                <w:kern w:val="24"/>
                <w:sz w:val="17"/>
                <w:szCs w:val="17"/>
                <w14:ligatures w14:val="none"/>
              </w:rPr>
              <w:t>g/g</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79A68602"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8AE9D"/>
                <w:kern w:val="24"/>
                <w:sz w:val="17"/>
                <w:szCs w:val="17"/>
                <w:lang w:val="el-GR"/>
                <w14:ligatures w14:val="none"/>
              </w:rPr>
              <w:t>&lt;</w:t>
            </w:r>
            <w:r w:rsidRPr="006F5EDC">
              <w:rPr>
                <w:rFonts w:ascii="Avenir Next LT Pro Light" w:eastAsia="Times New Roman" w:hAnsi="Avenir Next LT Pro Light" w:cs="Arial"/>
                <w:color w:val="18AE9D"/>
                <w:kern w:val="24"/>
                <w:sz w:val="17"/>
                <w:szCs w:val="17"/>
                <w14:ligatures w14:val="none"/>
              </w:rPr>
              <w:t>2</w:t>
            </w:r>
            <w:r w:rsidRPr="006F5EDC">
              <w:rPr>
                <w:rFonts w:ascii="Avenir Next LT Pro Light" w:eastAsia="Times New Roman" w:hAnsi="Avenir Next LT Pro Light" w:cs="Arial"/>
                <w:color w:val="18AE9D"/>
                <w:kern w:val="24"/>
                <w:sz w:val="17"/>
                <w:szCs w:val="17"/>
                <w:lang w:val="el-GR"/>
                <w14:ligatures w14:val="none"/>
              </w:rPr>
              <w:t>5μ</w:t>
            </w:r>
            <w:r w:rsidRPr="006F5EDC">
              <w:rPr>
                <w:rFonts w:ascii="Avenir Next LT Pro Light" w:eastAsia="Times New Roman" w:hAnsi="Avenir Next LT Pro Light" w:cs="Arial"/>
                <w:color w:val="18AE9D"/>
                <w:kern w:val="24"/>
                <w:sz w:val="17"/>
                <w:szCs w:val="17"/>
                <w14:ligatures w14:val="none"/>
              </w:rPr>
              <w:t>g/g</w:t>
            </w:r>
          </w:p>
        </w:tc>
      </w:tr>
      <w:tr w:rsidR="006F5EDC" w:rsidRPr="006F5EDC" w14:paraId="62C0EBA9" w14:textId="77777777" w:rsidTr="006F5EDC">
        <w:tc>
          <w:tcPr>
            <w:tcW w:w="712" w:type="dxa"/>
            <w:vMerge/>
            <w:tcBorders>
              <w:top w:val="single" w:sz="6" w:space="0" w:color="7F7F7F"/>
              <w:left w:val="single" w:sz="6" w:space="0" w:color="7F7F7F"/>
              <w:bottom w:val="single" w:sz="6" w:space="0" w:color="7F7F7F"/>
              <w:right w:val="single" w:sz="6" w:space="0" w:color="7F7F7F"/>
            </w:tcBorders>
            <w:vAlign w:val="center"/>
            <w:hideMark/>
          </w:tcPr>
          <w:p w14:paraId="566D749E" w14:textId="77777777" w:rsidR="006F5EDC" w:rsidRPr="006F5EDC" w:rsidRDefault="006F5EDC" w:rsidP="006F5EDC">
            <w:pPr>
              <w:spacing w:after="0" w:line="240" w:lineRule="auto"/>
              <w:rPr>
                <w:rFonts w:ascii="Arial" w:eastAsia="Times New Roman" w:hAnsi="Arial" w:cs="Arial"/>
                <w:kern w:val="0"/>
                <w:sz w:val="17"/>
                <w:szCs w:val="17"/>
                <w14:ligatures w14:val="none"/>
              </w:rPr>
            </w:pPr>
          </w:p>
        </w:tc>
        <w:tc>
          <w:tcPr>
            <w:tcW w:w="1846"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401FC2D7"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i/>
                <w:iCs/>
                <w:color w:val="18AE9D"/>
                <w:kern w:val="24"/>
                <w:sz w:val="17"/>
                <w:szCs w:val="17"/>
                <w14:ligatures w14:val="none"/>
              </w:rPr>
              <w:t>Etc.</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1D828C19" w14:textId="77777777" w:rsidR="006F5EDC" w:rsidRPr="006F5EDC" w:rsidRDefault="006F5EDC" w:rsidP="006F5EDC">
            <w:pPr>
              <w:spacing w:after="0" w:line="240" w:lineRule="auto"/>
              <w:rPr>
                <w:rFonts w:ascii="Arial" w:eastAsia="Times New Roman" w:hAnsi="Arial" w:cs="Arial"/>
                <w:kern w:val="0"/>
                <w:sz w:val="17"/>
                <w:szCs w:val="17"/>
                <w14:ligatures w14:val="none"/>
              </w:rPr>
            </w:pP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34455454" w14:textId="77777777" w:rsidR="006F5EDC" w:rsidRPr="006F5EDC" w:rsidRDefault="006F5EDC" w:rsidP="006F5EDC">
            <w:pPr>
              <w:spacing w:after="0" w:line="240" w:lineRule="auto"/>
              <w:rPr>
                <w:rFonts w:eastAsia="Times New Roman"/>
                <w:kern w:val="0"/>
                <w:sz w:val="17"/>
                <w:szCs w:val="17"/>
                <w14:ligatures w14:val="none"/>
              </w:rPr>
            </w:pPr>
          </w:p>
        </w:tc>
      </w:tr>
      <w:tr w:rsidR="006F5EDC" w:rsidRPr="006F5EDC" w14:paraId="5FF4B01A" w14:textId="77777777" w:rsidTr="006F5EDC">
        <w:tc>
          <w:tcPr>
            <w:tcW w:w="712" w:type="dxa"/>
            <w:vMerge w:val="restart"/>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textDirection w:val="btLr"/>
            <w:hideMark/>
          </w:tcPr>
          <w:p w14:paraId="1E1DA7BC"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Product Specific-</w:t>
            </w:r>
            <w:proofErr w:type="spellStart"/>
            <w:r w:rsidRPr="006F5EDC">
              <w:rPr>
                <w:rFonts w:ascii="Avenir Next LT Pro Light" w:eastAsia="Times New Roman" w:hAnsi="Avenir Next LT Pro Light" w:cs="Arial"/>
                <w:color w:val="131314"/>
                <w:kern w:val="24"/>
                <w:sz w:val="17"/>
                <w:szCs w:val="17"/>
                <w14:ligatures w14:val="none"/>
              </w:rPr>
              <w:t>ations</w:t>
            </w:r>
            <w:proofErr w:type="spellEnd"/>
            <w:r w:rsidRPr="006F5EDC">
              <w:rPr>
                <w:rFonts w:ascii="Avenir Next LT Pro Light" w:eastAsia="Times New Roman" w:hAnsi="Avenir Next LT Pro Light" w:cs="Arial"/>
                <w:color w:val="18AE9D"/>
                <w:kern w:val="24"/>
                <w:position w:val="5"/>
                <w:sz w:val="17"/>
                <w:szCs w:val="17"/>
                <w:vertAlign w:val="superscript"/>
                <w14:ligatures w14:val="none"/>
              </w:rPr>
              <w:t>2</w:t>
            </w:r>
            <w:r w:rsidRPr="006F5EDC">
              <w:rPr>
                <w:rFonts w:ascii="Avenir Next LT Pro Light" w:eastAsia="Times New Roman" w:hAnsi="Avenir Next LT Pro Light" w:cs="Arial"/>
                <w:color w:val="131314"/>
                <w:kern w:val="24"/>
                <w:sz w:val="17"/>
                <w:szCs w:val="17"/>
                <w14:ligatures w14:val="none"/>
              </w:rPr>
              <w:t xml:space="preserve">  </w:t>
            </w:r>
          </w:p>
        </w:tc>
        <w:tc>
          <w:tcPr>
            <w:tcW w:w="1846"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72B89C01"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i/>
                <w:iCs/>
                <w:color w:val="18AE9D"/>
                <w:kern w:val="24"/>
                <w:sz w:val="17"/>
                <w:szCs w:val="17"/>
                <w14:ligatures w14:val="none"/>
              </w:rPr>
              <w:t>Ex. Cost of Goods Manufactured</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2F45C1DC"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8AE9D"/>
                <w:kern w:val="24"/>
                <w:sz w:val="17"/>
                <w:szCs w:val="17"/>
                <w14:ligatures w14:val="none"/>
              </w:rPr>
              <w:t>&lt; $2.50/pill (therapeutic dose)</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222AD330"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8AE9D"/>
                <w:kern w:val="24"/>
                <w:sz w:val="17"/>
                <w:szCs w:val="17"/>
                <w14:ligatures w14:val="none"/>
              </w:rPr>
              <w:t>&lt;$1/pill (therapeutic dose)</w:t>
            </w:r>
          </w:p>
        </w:tc>
      </w:tr>
      <w:tr w:rsidR="006F5EDC" w:rsidRPr="006F5EDC" w14:paraId="657D9072" w14:textId="77777777" w:rsidTr="006F5EDC">
        <w:tc>
          <w:tcPr>
            <w:tcW w:w="712" w:type="dxa"/>
            <w:vMerge/>
            <w:tcBorders>
              <w:top w:val="single" w:sz="6" w:space="0" w:color="7F7F7F"/>
              <w:left w:val="single" w:sz="6" w:space="0" w:color="7F7F7F"/>
              <w:bottom w:val="single" w:sz="6" w:space="0" w:color="7F7F7F"/>
              <w:right w:val="single" w:sz="6" w:space="0" w:color="7F7F7F"/>
            </w:tcBorders>
            <w:vAlign w:val="center"/>
            <w:hideMark/>
          </w:tcPr>
          <w:p w14:paraId="4914C337" w14:textId="77777777" w:rsidR="006F5EDC" w:rsidRPr="006F5EDC" w:rsidRDefault="006F5EDC" w:rsidP="006F5EDC">
            <w:pPr>
              <w:spacing w:after="0" w:line="240" w:lineRule="auto"/>
              <w:rPr>
                <w:rFonts w:ascii="Arial" w:eastAsia="Times New Roman" w:hAnsi="Arial" w:cs="Arial"/>
                <w:kern w:val="0"/>
                <w:sz w:val="17"/>
                <w:szCs w:val="17"/>
                <w14:ligatures w14:val="none"/>
              </w:rPr>
            </w:pPr>
          </w:p>
        </w:tc>
        <w:tc>
          <w:tcPr>
            <w:tcW w:w="1846"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3C91F2CB"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i/>
                <w:iCs/>
                <w:color w:val="18AE9D"/>
                <w:kern w:val="24"/>
                <w:sz w:val="17"/>
                <w:szCs w:val="17"/>
                <w14:ligatures w14:val="none"/>
              </w:rPr>
              <w:t>Ex. Dosage Form</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461C191B"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8AE9D"/>
                <w:kern w:val="24"/>
                <w:sz w:val="17"/>
                <w:szCs w:val="17"/>
                <w14:ligatures w14:val="none"/>
              </w:rPr>
              <w:t>Delayed Release Tablets</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3EFC05F6"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8AE9D"/>
                <w:kern w:val="24"/>
                <w:sz w:val="17"/>
                <w:szCs w:val="17"/>
                <w14:ligatures w14:val="none"/>
              </w:rPr>
              <w:t>Delayed Release Tablets</w:t>
            </w:r>
          </w:p>
        </w:tc>
      </w:tr>
      <w:tr w:rsidR="006F5EDC" w:rsidRPr="006F5EDC" w14:paraId="2790B9C8" w14:textId="77777777" w:rsidTr="006F5EDC">
        <w:tc>
          <w:tcPr>
            <w:tcW w:w="712" w:type="dxa"/>
            <w:vMerge/>
            <w:tcBorders>
              <w:top w:val="single" w:sz="6" w:space="0" w:color="7F7F7F"/>
              <w:left w:val="single" w:sz="6" w:space="0" w:color="7F7F7F"/>
              <w:bottom w:val="single" w:sz="6" w:space="0" w:color="7F7F7F"/>
              <w:right w:val="single" w:sz="6" w:space="0" w:color="7F7F7F"/>
            </w:tcBorders>
            <w:vAlign w:val="center"/>
            <w:hideMark/>
          </w:tcPr>
          <w:p w14:paraId="1D1B5CB4" w14:textId="77777777" w:rsidR="006F5EDC" w:rsidRPr="006F5EDC" w:rsidRDefault="006F5EDC" w:rsidP="006F5EDC">
            <w:pPr>
              <w:spacing w:after="0" w:line="240" w:lineRule="auto"/>
              <w:rPr>
                <w:rFonts w:ascii="Arial" w:eastAsia="Times New Roman" w:hAnsi="Arial" w:cs="Arial"/>
                <w:kern w:val="0"/>
                <w:sz w:val="17"/>
                <w:szCs w:val="17"/>
                <w14:ligatures w14:val="none"/>
              </w:rPr>
            </w:pPr>
          </w:p>
        </w:tc>
        <w:tc>
          <w:tcPr>
            <w:tcW w:w="1846" w:type="dxa"/>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3DC01F76"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i/>
                <w:iCs/>
                <w:color w:val="18AE9D"/>
                <w:kern w:val="24"/>
                <w:sz w:val="17"/>
                <w:szCs w:val="17"/>
                <w14:ligatures w14:val="none"/>
              </w:rPr>
              <w:t>Etc.</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0E83C2F1" w14:textId="77777777" w:rsidR="006F5EDC" w:rsidRPr="006F5EDC" w:rsidRDefault="006F5EDC" w:rsidP="006F5EDC">
            <w:pPr>
              <w:spacing w:after="0" w:line="240" w:lineRule="auto"/>
              <w:rPr>
                <w:rFonts w:ascii="Arial" w:eastAsia="Times New Roman" w:hAnsi="Arial" w:cs="Arial"/>
                <w:kern w:val="0"/>
                <w:sz w:val="17"/>
                <w:szCs w:val="17"/>
                <w14:ligatures w14:val="none"/>
              </w:rPr>
            </w:pP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vAlign w:val="center"/>
            <w:hideMark/>
          </w:tcPr>
          <w:p w14:paraId="6FDA5F8E" w14:textId="77777777" w:rsidR="006F5EDC" w:rsidRPr="006F5EDC" w:rsidRDefault="006F5EDC" w:rsidP="006F5EDC">
            <w:pPr>
              <w:spacing w:after="0" w:line="240" w:lineRule="auto"/>
              <w:rPr>
                <w:rFonts w:eastAsia="Times New Roman"/>
                <w:kern w:val="0"/>
                <w:sz w:val="17"/>
                <w:szCs w:val="17"/>
                <w14:ligatures w14:val="none"/>
              </w:rPr>
            </w:pPr>
          </w:p>
        </w:tc>
      </w:tr>
      <w:tr w:rsidR="006F5EDC" w:rsidRPr="006F5EDC" w14:paraId="1C7F8A09" w14:textId="77777777" w:rsidTr="006F5EDC">
        <w:tc>
          <w:tcPr>
            <w:tcW w:w="712" w:type="dxa"/>
            <w:vMerge w:val="restart"/>
            <w:tcBorders>
              <w:top w:val="single" w:sz="6" w:space="0" w:color="7F7F7F"/>
              <w:left w:val="single" w:sz="6" w:space="0" w:color="7F7F7F"/>
              <w:bottom w:val="single" w:sz="6" w:space="0" w:color="7F7F7F"/>
              <w:right w:val="single" w:sz="8" w:space="0" w:color="959BA3"/>
            </w:tcBorders>
            <w:shd w:val="clear" w:color="auto" w:fill="auto"/>
            <w:tcMar>
              <w:top w:w="29" w:type="dxa"/>
              <w:left w:w="58" w:type="dxa"/>
              <w:bottom w:w="29" w:type="dxa"/>
              <w:right w:w="29" w:type="dxa"/>
            </w:tcMar>
            <w:textDirection w:val="btLr"/>
            <w:hideMark/>
          </w:tcPr>
          <w:p w14:paraId="7633F669" w14:textId="77777777" w:rsidR="006F5EDC" w:rsidRPr="006F5EDC" w:rsidRDefault="006F5EDC" w:rsidP="006F5EDC">
            <w:pPr>
              <w:spacing w:after="0" w:line="240" w:lineRule="auto"/>
              <w:jc w:val="center"/>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Affordability and Accessibility</w:t>
            </w:r>
          </w:p>
        </w:tc>
        <w:tc>
          <w:tcPr>
            <w:tcW w:w="1846" w:type="dxa"/>
            <w:tcBorders>
              <w:top w:val="single" w:sz="6" w:space="0" w:color="7F7F7F"/>
              <w:left w:val="single" w:sz="8" w:space="0" w:color="959BA3"/>
              <w:bottom w:val="single" w:sz="6" w:space="0" w:color="7F7F7F"/>
              <w:right w:val="single" w:sz="6" w:space="0" w:color="7F7F7F"/>
            </w:tcBorders>
            <w:shd w:val="clear" w:color="auto" w:fill="auto"/>
            <w:tcMar>
              <w:top w:w="29" w:type="dxa"/>
              <w:left w:w="58" w:type="dxa"/>
              <w:bottom w:w="29" w:type="dxa"/>
              <w:right w:w="29" w:type="dxa"/>
            </w:tcMar>
            <w:hideMark/>
          </w:tcPr>
          <w:p w14:paraId="4281024C"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Regimen</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6A41E3AA"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Oral: Daily</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7CC7EA96"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Oral: Monthly</w:t>
            </w:r>
          </w:p>
        </w:tc>
      </w:tr>
      <w:tr w:rsidR="006F5EDC" w:rsidRPr="006F5EDC" w14:paraId="2FAC7A83" w14:textId="77777777" w:rsidTr="006F5EDC">
        <w:tc>
          <w:tcPr>
            <w:tcW w:w="712" w:type="dxa"/>
            <w:vMerge/>
            <w:tcBorders>
              <w:top w:val="single" w:sz="6" w:space="0" w:color="7F7F7F"/>
              <w:left w:val="single" w:sz="6" w:space="0" w:color="7F7F7F"/>
              <w:bottom w:val="single" w:sz="6" w:space="0" w:color="7F7F7F"/>
              <w:right w:val="single" w:sz="8" w:space="0" w:color="959BA3"/>
            </w:tcBorders>
            <w:vAlign w:val="center"/>
            <w:hideMark/>
          </w:tcPr>
          <w:p w14:paraId="63DF3364" w14:textId="77777777" w:rsidR="006F5EDC" w:rsidRPr="006F5EDC" w:rsidRDefault="006F5EDC" w:rsidP="006F5EDC">
            <w:pPr>
              <w:spacing w:after="0" w:line="240" w:lineRule="auto"/>
              <w:rPr>
                <w:rFonts w:ascii="Arial" w:eastAsia="Times New Roman" w:hAnsi="Arial" w:cs="Arial"/>
                <w:kern w:val="0"/>
                <w:sz w:val="17"/>
                <w:szCs w:val="17"/>
                <w14:ligatures w14:val="none"/>
              </w:rPr>
            </w:pPr>
          </w:p>
        </w:tc>
        <w:tc>
          <w:tcPr>
            <w:tcW w:w="1846" w:type="dxa"/>
            <w:tcBorders>
              <w:top w:val="single" w:sz="6" w:space="0" w:color="7F7F7F"/>
              <w:left w:val="single" w:sz="8" w:space="0" w:color="959BA3"/>
              <w:bottom w:val="single" w:sz="6" w:space="0" w:color="7F7F7F"/>
              <w:right w:val="single" w:sz="6" w:space="0" w:color="7F7F7F"/>
            </w:tcBorders>
            <w:shd w:val="clear" w:color="auto" w:fill="auto"/>
            <w:tcMar>
              <w:top w:w="29" w:type="dxa"/>
              <w:left w:w="58" w:type="dxa"/>
              <w:bottom w:w="29" w:type="dxa"/>
              <w:right w:w="29" w:type="dxa"/>
            </w:tcMar>
            <w:hideMark/>
          </w:tcPr>
          <w:p w14:paraId="04C35F0B"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Drug Cost (to patient)</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5621E90F"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&lt; $100/month for management;</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6DF6C9E6"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&lt; $5,000 to cure</w:t>
            </w:r>
          </w:p>
        </w:tc>
      </w:tr>
      <w:tr w:rsidR="006F5EDC" w:rsidRPr="006F5EDC" w14:paraId="442AECEF" w14:textId="77777777" w:rsidTr="006F5EDC">
        <w:tc>
          <w:tcPr>
            <w:tcW w:w="712" w:type="dxa"/>
            <w:vMerge/>
            <w:tcBorders>
              <w:top w:val="single" w:sz="6" w:space="0" w:color="7F7F7F"/>
              <w:left w:val="single" w:sz="6" w:space="0" w:color="7F7F7F"/>
              <w:bottom w:val="single" w:sz="6" w:space="0" w:color="7F7F7F"/>
              <w:right w:val="single" w:sz="8" w:space="0" w:color="959BA3"/>
            </w:tcBorders>
            <w:vAlign w:val="center"/>
            <w:hideMark/>
          </w:tcPr>
          <w:p w14:paraId="06E4B41B" w14:textId="77777777" w:rsidR="006F5EDC" w:rsidRPr="006F5EDC" w:rsidRDefault="006F5EDC" w:rsidP="006F5EDC">
            <w:pPr>
              <w:spacing w:after="0" w:line="240" w:lineRule="auto"/>
              <w:rPr>
                <w:rFonts w:ascii="Arial" w:eastAsia="Times New Roman" w:hAnsi="Arial" w:cs="Arial"/>
                <w:kern w:val="0"/>
                <w:sz w:val="17"/>
                <w:szCs w:val="17"/>
                <w14:ligatures w14:val="none"/>
              </w:rPr>
            </w:pPr>
          </w:p>
        </w:tc>
        <w:tc>
          <w:tcPr>
            <w:tcW w:w="1846" w:type="dxa"/>
            <w:tcBorders>
              <w:top w:val="single" w:sz="6" w:space="0" w:color="7F7F7F"/>
              <w:left w:val="single" w:sz="8" w:space="0" w:color="959BA3"/>
              <w:bottom w:val="single" w:sz="6" w:space="0" w:color="7F7F7F"/>
              <w:right w:val="single" w:sz="6" w:space="0" w:color="7F7F7F"/>
            </w:tcBorders>
            <w:shd w:val="clear" w:color="auto" w:fill="auto"/>
            <w:tcMar>
              <w:top w:w="29" w:type="dxa"/>
              <w:left w:w="58" w:type="dxa"/>
              <w:bottom w:w="29" w:type="dxa"/>
              <w:right w:w="29" w:type="dxa"/>
            </w:tcMar>
            <w:hideMark/>
          </w:tcPr>
          <w:p w14:paraId="0EDE3259"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Stability/Shelf Life</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7D3E3F32"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Stable for 1.5 years at room temperatures (20-25C)</w:t>
            </w:r>
          </w:p>
        </w:tc>
        <w:tc>
          <w:tcPr>
            <w:tcW w:w="0" w:type="auto"/>
            <w:tcBorders>
              <w:top w:val="single" w:sz="6" w:space="0" w:color="7F7F7F"/>
              <w:left w:val="single" w:sz="6" w:space="0" w:color="7F7F7F"/>
              <w:bottom w:val="single" w:sz="6" w:space="0" w:color="7F7F7F"/>
              <w:right w:val="single" w:sz="6" w:space="0" w:color="7F7F7F"/>
            </w:tcBorders>
            <w:shd w:val="clear" w:color="auto" w:fill="auto"/>
            <w:tcMar>
              <w:top w:w="29" w:type="dxa"/>
              <w:left w:w="58" w:type="dxa"/>
              <w:bottom w:w="29" w:type="dxa"/>
              <w:right w:w="29" w:type="dxa"/>
            </w:tcMar>
            <w:hideMark/>
          </w:tcPr>
          <w:p w14:paraId="580B4A36" w14:textId="77777777" w:rsidR="006F5EDC" w:rsidRPr="006F5EDC" w:rsidRDefault="006F5EDC" w:rsidP="006F5EDC">
            <w:pPr>
              <w:spacing w:after="0" w:line="240" w:lineRule="auto"/>
              <w:rPr>
                <w:rFonts w:ascii="Arial" w:eastAsia="Times New Roman" w:hAnsi="Arial" w:cs="Arial"/>
                <w:kern w:val="0"/>
                <w:sz w:val="17"/>
                <w:szCs w:val="17"/>
                <w14:ligatures w14:val="none"/>
              </w:rPr>
            </w:pPr>
            <w:r w:rsidRPr="006F5EDC">
              <w:rPr>
                <w:rFonts w:ascii="Avenir Next LT Pro Light" w:eastAsia="Times New Roman" w:hAnsi="Avenir Next LT Pro Light" w:cs="Arial"/>
                <w:color w:val="131314"/>
                <w:kern w:val="24"/>
                <w:sz w:val="17"/>
                <w:szCs w:val="17"/>
                <w14:ligatures w14:val="none"/>
              </w:rPr>
              <w:t>Stable for 5 years at room temperatures (20-25C)</w:t>
            </w:r>
          </w:p>
        </w:tc>
      </w:tr>
    </w:tbl>
    <w:p w14:paraId="3E7AF8E1" w14:textId="77777777" w:rsidR="006F5EDC" w:rsidRPr="0073337B" w:rsidRDefault="006F5EDC" w:rsidP="007F740C">
      <w:pPr>
        <w:spacing w:after="0" w:line="240" w:lineRule="auto"/>
        <w:contextualSpacing/>
        <w:rPr>
          <w:rFonts w:ascii="Avenir Next LT Pro" w:eastAsia="Times New Roman" w:hAnsi="Avenir Next LT Pro"/>
          <w:kern w:val="0"/>
          <w:sz w:val="18"/>
          <w:szCs w:val="18"/>
          <w14:ligatures w14:val="none"/>
        </w:rPr>
      </w:pPr>
    </w:p>
    <w:p w14:paraId="5539FBDA" w14:textId="77777777" w:rsidR="0073337B" w:rsidRPr="0073337B" w:rsidRDefault="0073337B" w:rsidP="0073337B">
      <w:pPr>
        <w:spacing w:after="0" w:line="240" w:lineRule="auto"/>
        <w:rPr>
          <w:rFonts w:ascii="Avenir Next LT Pro" w:eastAsia="Times New Roman" w:hAnsi="Avenir Next LT Pro"/>
          <w:kern w:val="0"/>
          <w:sz w:val="18"/>
          <w:szCs w:val="18"/>
          <w14:ligatures w14:val="none"/>
        </w:rPr>
      </w:pPr>
      <w:r w:rsidRPr="0073337B">
        <w:rPr>
          <w:rFonts w:ascii="Avenir Next LT Pro" w:eastAsia="+mn-ea" w:hAnsi="Avenir Next LT Pro" w:cs="+mn-cs"/>
          <w:color w:val="001B5E"/>
          <w:kern w:val="24"/>
          <w:sz w:val="18"/>
          <w:szCs w:val="18"/>
          <w14:ligatures w14:val="none"/>
        </w:rPr>
        <w:t>Performer’s choice:</w:t>
      </w:r>
    </w:p>
    <w:p w14:paraId="2C7FC0EC" w14:textId="77777777" w:rsidR="0073337B" w:rsidRPr="0073337B" w:rsidRDefault="0073337B" w:rsidP="0073337B">
      <w:pPr>
        <w:numPr>
          <w:ilvl w:val="0"/>
          <w:numId w:val="4"/>
        </w:numPr>
        <w:tabs>
          <w:tab w:val="clear" w:pos="720"/>
          <w:tab w:val="num" w:pos="810"/>
        </w:tabs>
        <w:spacing w:after="0" w:line="240" w:lineRule="auto"/>
        <w:ind w:left="900" w:hanging="540"/>
        <w:contextualSpacing/>
        <w:rPr>
          <w:rFonts w:ascii="Avenir Next LT Pro" w:eastAsia="Times New Roman" w:hAnsi="Avenir Next LT Pro"/>
          <w:kern w:val="0"/>
          <w:sz w:val="18"/>
          <w:szCs w:val="18"/>
          <w14:ligatures w14:val="none"/>
        </w:rPr>
      </w:pPr>
      <w:r w:rsidRPr="0073337B">
        <w:rPr>
          <w:rFonts w:ascii="Avenir Next LT Pro" w:eastAsia="+mn-ea" w:hAnsi="Avenir Next LT Pro" w:cs="+mn-cs"/>
          <w:color w:val="FD4497"/>
          <w:kern w:val="24"/>
          <w:sz w:val="18"/>
          <w:szCs w:val="18"/>
          <w14:ligatures w14:val="none"/>
        </w:rPr>
        <w:t xml:space="preserve">Performer selects 2 lymphatic functional </w:t>
      </w:r>
      <w:proofErr w:type="gramStart"/>
      <w:r w:rsidRPr="0073337B">
        <w:rPr>
          <w:rFonts w:ascii="Avenir Next LT Pro" w:eastAsia="+mn-ea" w:hAnsi="Avenir Next LT Pro" w:cs="+mn-cs"/>
          <w:color w:val="FD4497"/>
          <w:kern w:val="24"/>
          <w:sz w:val="18"/>
          <w:szCs w:val="18"/>
          <w14:ligatures w14:val="none"/>
        </w:rPr>
        <w:t>efficacy</w:t>
      </w:r>
      <w:proofErr w:type="gramEnd"/>
      <w:r w:rsidRPr="0073337B">
        <w:rPr>
          <w:rFonts w:ascii="Avenir Next LT Pro" w:eastAsia="+mn-ea" w:hAnsi="Avenir Next LT Pro" w:cs="+mn-cs"/>
          <w:color w:val="FD4497"/>
          <w:kern w:val="24"/>
          <w:sz w:val="18"/>
          <w:szCs w:val="18"/>
          <w14:ligatures w14:val="none"/>
        </w:rPr>
        <w:t xml:space="preserve"> (requirement is ≥ 2)</w:t>
      </w:r>
      <w:r w:rsidRPr="0073337B">
        <w:rPr>
          <w:rFonts w:ascii="Avenir Next LT Pro" w:eastAsia="+mn-ea" w:hAnsi="Avenir Next LT Pro" w:cs="+mn-cs"/>
          <w:i/>
          <w:iCs/>
          <w:color w:val="FD4497"/>
          <w:kern w:val="24"/>
          <w:sz w:val="18"/>
          <w:szCs w:val="18"/>
          <w14:ligatures w14:val="none"/>
        </w:rPr>
        <w:t>.</w:t>
      </w:r>
    </w:p>
    <w:p w14:paraId="3C18F8B3" w14:textId="460D69A7" w:rsidR="0073337B" w:rsidRPr="0073337B" w:rsidRDefault="0073337B" w:rsidP="0073337B">
      <w:pPr>
        <w:numPr>
          <w:ilvl w:val="0"/>
          <w:numId w:val="4"/>
        </w:numPr>
        <w:tabs>
          <w:tab w:val="clear" w:pos="720"/>
        </w:tabs>
        <w:spacing w:after="0" w:line="240" w:lineRule="auto"/>
        <w:ind w:left="810" w:hanging="450"/>
        <w:contextualSpacing/>
        <w:rPr>
          <w:rFonts w:ascii="Avenir Next LT Pro" w:eastAsia="Times New Roman" w:hAnsi="Avenir Next LT Pro"/>
          <w:kern w:val="0"/>
          <w:sz w:val="18"/>
          <w:szCs w:val="18"/>
          <w14:ligatures w14:val="none"/>
        </w:rPr>
      </w:pPr>
      <w:r w:rsidRPr="0073337B">
        <w:rPr>
          <w:rFonts w:ascii="Avenir Next LT Pro" w:eastAsia="+mn-ea" w:hAnsi="Avenir Next LT Pro" w:cs="+mn-cs"/>
          <w:i/>
          <w:iCs/>
          <w:color w:val="18AE9D"/>
          <w:kern w:val="24"/>
          <w:sz w:val="18"/>
          <w:szCs w:val="18"/>
          <w14:ligatures w14:val="none"/>
        </w:rPr>
        <w:t>Examples of efficacy targets related to IBD and product specification categories. This should be expanded and tailored to the proposed technology and disease indication.</w:t>
      </w:r>
    </w:p>
    <w:p w14:paraId="72C0667B" w14:textId="77777777" w:rsidR="0073337B" w:rsidRPr="00AC5F72" w:rsidRDefault="0073337B" w:rsidP="007F740C">
      <w:pPr>
        <w:spacing w:after="0" w:line="240" w:lineRule="auto"/>
        <w:contextualSpacing/>
        <w:rPr>
          <w:rFonts w:ascii="Avenir Next LT Pro" w:eastAsia="Times New Roman" w:hAnsi="Avenir Next LT Pro"/>
          <w:kern w:val="0"/>
          <w:sz w:val="18"/>
          <w:szCs w:val="18"/>
          <w14:ligatures w14:val="none"/>
        </w:rPr>
      </w:pPr>
    </w:p>
    <w:sectPr w:rsidR="0073337B" w:rsidRPr="00AC5F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LT Pro">
    <w:charset w:val="00"/>
    <w:family w:val="swiss"/>
    <w:pitch w:val="variable"/>
    <w:sig w:usb0="800000EF" w:usb1="5000204A" w:usb2="00000000" w:usb3="00000000" w:csb0="00000093"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venir Next LT Pro Light">
    <w:charset w:val="00"/>
    <w:family w:val="swiss"/>
    <w:pitch w:val="variable"/>
    <w:sig w:usb0="A00000EF" w:usb1="5000204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41F4E"/>
    <w:multiLevelType w:val="hybridMultilevel"/>
    <w:tmpl w:val="5E52047E"/>
    <w:lvl w:ilvl="0" w:tplc="B2EC836C">
      <w:start w:val="1"/>
      <w:numFmt w:val="decimal"/>
      <w:lvlText w:val="%1."/>
      <w:lvlJc w:val="left"/>
      <w:pPr>
        <w:tabs>
          <w:tab w:val="num" w:pos="-1440"/>
        </w:tabs>
        <w:ind w:left="-1440" w:hanging="360"/>
      </w:pPr>
    </w:lvl>
    <w:lvl w:ilvl="1" w:tplc="6792C35A" w:tentative="1">
      <w:start w:val="1"/>
      <w:numFmt w:val="decimal"/>
      <w:lvlText w:val="%2."/>
      <w:lvlJc w:val="left"/>
      <w:pPr>
        <w:tabs>
          <w:tab w:val="num" w:pos="-720"/>
        </w:tabs>
        <w:ind w:left="-720" w:hanging="360"/>
      </w:pPr>
    </w:lvl>
    <w:lvl w:ilvl="2" w:tplc="F3FA513C" w:tentative="1">
      <w:start w:val="1"/>
      <w:numFmt w:val="decimal"/>
      <w:lvlText w:val="%3."/>
      <w:lvlJc w:val="left"/>
      <w:pPr>
        <w:tabs>
          <w:tab w:val="num" w:pos="0"/>
        </w:tabs>
        <w:ind w:left="0" w:hanging="360"/>
      </w:pPr>
    </w:lvl>
    <w:lvl w:ilvl="3" w:tplc="C820FBA6" w:tentative="1">
      <w:start w:val="1"/>
      <w:numFmt w:val="decimal"/>
      <w:lvlText w:val="%4."/>
      <w:lvlJc w:val="left"/>
      <w:pPr>
        <w:tabs>
          <w:tab w:val="num" w:pos="720"/>
        </w:tabs>
        <w:ind w:left="720" w:hanging="360"/>
      </w:pPr>
    </w:lvl>
    <w:lvl w:ilvl="4" w:tplc="95C2C14A" w:tentative="1">
      <w:start w:val="1"/>
      <w:numFmt w:val="decimal"/>
      <w:lvlText w:val="%5."/>
      <w:lvlJc w:val="left"/>
      <w:pPr>
        <w:tabs>
          <w:tab w:val="num" w:pos="1440"/>
        </w:tabs>
        <w:ind w:left="1440" w:hanging="360"/>
      </w:pPr>
    </w:lvl>
    <w:lvl w:ilvl="5" w:tplc="B8DC4664" w:tentative="1">
      <w:start w:val="1"/>
      <w:numFmt w:val="decimal"/>
      <w:lvlText w:val="%6."/>
      <w:lvlJc w:val="left"/>
      <w:pPr>
        <w:tabs>
          <w:tab w:val="num" w:pos="2160"/>
        </w:tabs>
        <w:ind w:left="2160" w:hanging="360"/>
      </w:pPr>
    </w:lvl>
    <w:lvl w:ilvl="6" w:tplc="E4CAA3D6" w:tentative="1">
      <w:start w:val="1"/>
      <w:numFmt w:val="decimal"/>
      <w:lvlText w:val="%7."/>
      <w:lvlJc w:val="left"/>
      <w:pPr>
        <w:tabs>
          <w:tab w:val="num" w:pos="2880"/>
        </w:tabs>
        <w:ind w:left="2880" w:hanging="360"/>
      </w:pPr>
    </w:lvl>
    <w:lvl w:ilvl="7" w:tplc="E8CCA298" w:tentative="1">
      <w:start w:val="1"/>
      <w:numFmt w:val="decimal"/>
      <w:lvlText w:val="%8."/>
      <w:lvlJc w:val="left"/>
      <w:pPr>
        <w:tabs>
          <w:tab w:val="num" w:pos="3600"/>
        </w:tabs>
        <w:ind w:left="3600" w:hanging="360"/>
      </w:pPr>
    </w:lvl>
    <w:lvl w:ilvl="8" w:tplc="2D5811CE" w:tentative="1">
      <w:start w:val="1"/>
      <w:numFmt w:val="decimal"/>
      <w:lvlText w:val="%9."/>
      <w:lvlJc w:val="left"/>
      <w:pPr>
        <w:tabs>
          <w:tab w:val="num" w:pos="4320"/>
        </w:tabs>
        <w:ind w:left="4320" w:hanging="360"/>
      </w:pPr>
    </w:lvl>
  </w:abstractNum>
  <w:abstractNum w:abstractNumId="1" w15:restartNumberingAfterBreak="0">
    <w:nsid w:val="0BFE3B00"/>
    <w:multiLevelType w:val="hybridMultilevel"/>
    <w:tmpl w:val="1AC69066"/>
    <w:lvl w:ilvl="0" w:tplc="FFFFFFFF">
      <w:start w:val="1"/>
      <w:numFmt w:val="decimal"/>
      <w:lvlText w:val="%1."/>
      <w:lvlJc w:val="left"/>
      <w:pPr>
        <w:ind w:left="720" w:hanging="360"/>
      </w:pPr>
    </w:lvl>
    <w:lvl w:ilvl="1" w:tplc="FFFFFFFF">
      <w:start w:val="1"/>
      <w:numFmt w:val="lowerLetter"/>
      <w:lvlText w:val="%2."/>
      <w:lvlJc w:val="left"/>
      <w:pPr>
        <w:ind w:left="1440" w:hanging="360"/>
      </w:pPr>
      <w:rPr>
        <w:b/>
        <w:bCs/>
      </w:rPr>
    </w:lvl>
    <w:lvl w:ilvl="2" w:tplc="FFFFFFFF">
      <w:start w:val="1"/>
      <w:numFmt w:val="lowerRoman"/>
      <w:lvlText w:val="%3."/>
      <w:lvlJc w:val="right"/>
      <w:pPr>
        <w:ind w:left="2160" w:hanging="180"/>
      </w:pPr>
      <w:rPr>
        <w:b/>
        <w:bCs/>
      </w:rPr>
    </w:lvl>
    <w:lvl w:ilvl="3" w:tplc="FFFFFFFF">
      <w:start w:val="1"/>
      <w:numFmt w:val="decimal"/>
      <w:lvlText w:val="%4."/>
      <w:lvlJc w:val="left"/>
      <w:pPr>
        <w:ind w:left="2880" w:hanging="360"/>
      </w:pPr>
      <w:rPr>
        <w:b/>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744914"/>
    <w:multiLevelType w:val="hybridMultilevel"/>
    <w:tmpl w:val="9FBC7C92"/>
    <w:lvl w:ilvl="0" w:tplc="538EC0EA">
      <w:start w:val="1"/>
      <w:numFmt w:val="decimal"/>
      <w:lvlText w:val="%1."/>
      <w:lvlJc w:val="left"/>
      <w:pPr>
        <w:tabs>
          <w:tab w:val="num" w:pos="720"/>
        </w:tabs>
        <w:ind w:left="720" w:hanging="360"/>
      </w:pPr>
    </w:lvl>
    <w:lvl w:ilvl="1" w:tplc="5C40806C" w:tentative="1">
      <w:start w:val="1"/>
      <w:numFmt w:val="decimal"/>
      <w:lvlText w:val="%2."/>
      <w:lvlJc w:val="left"/>
      <w:pPr>
        <w:tabs>
          <w:tab w:val="num" w:pos="1440"/>
        </w:tabs>
        <w:ind w:left="1440" w:hanging="360"/>
      </w:pPr>
    </w:lvl>
    <w:lvl w:ilvl="2" w:tplc="31724082" w:tentative="1">
      <w:start w:val="1"/>
      <w:numFmt w:val="decimal"/>
      <w:lvlText w:val="%3."/>
      <w:lvlJc w:val="left"/>
      <w:pPr>
        <w:tabs>
          <w:tab w:val="num" w:pos="2160"/>
        </w:tabs>
        <w:ind w:left="2160" w:hanging="360"/>
      </w:pPr>
    </w:lvl>
    <w:lvl w:ilvl="3" w:tplc="26668A72" w:tentative="1">
      <w:start w:val="1"/>
      <w:numFmt w:val="decimal"/>
      <w:lvlText w:val="%4."/>
      <w:lvlJc w:val="left"/>
      <w:pPr>
        <w:tabs>
          <w:tab w:val="num" w:pos="2880"/>
        </w:tabs>
        <w:ind w:left="2880" w:hanging="360"/>
      </w:pPr>
    </w:lvl>
    <w:lvl w:ilvl="4" w:tplc="B450EA8A" w:tentative="1">
      <w:start w:val="1"/>
      <w:numFmt w:val="decimal"/>
      <w:lvlText w:val="%5."/>
      <w:lvlJc w:val="left"/>
      <w:pPr>
        <w:tabs>
          <w:tab w:val="num" w:pos="3600"/>
        </w:tabs>
        <w:ind w:left="3600" w:hanging="360"/>
      </w:pPr>
    </w:lvl>
    <w:lvl w:ilvl="5" w:tplc="776E287C" w:tentative="1">
      <w:start w:val="1"/>
      <w:numFmt w:val="decimal"/>
      <w:lvlText w:val="%6."/>
      <w:lvlJc w:val="left"/>
      <w:pPr>
        <w:tabs>
          <w:tab w:val="num" w:pos="4320"/>
        </w:tabs>
        <w:ind w:left="4320" w:hanging="360"/>
      </w:pPr>
    </w:lvl>
    <w:lvl w:ilvl="6" w:tplc="7BAA9AC6" w:tentative="1">
      <w:start w:val="1"/>
      <w:numFmt w:val="decimal"/>
      <w:lvlText w:val="%7."/>
      <w:lvlJc w:val="left"/>
      <w:pPr>
        <w:tabs>
          <w:tab w:val="num" w:pos="5040"/>
        </w:tabs>
        <w:ind w:left="5040" w:hanging="360"/>
      </w:pPr>
    </w:lvl>
    <w:lvl w:ilvl="7" w:tplc="176A821A" w:tentative="1">
      <w:start w:val="1"/>
      <w:numFmt w:val="decimal"/>
      <w:lvlText w:val="%8."/>
      <w:lvlJc w:val="left"/>
      <w:pPr>
        <w:tabs>
          <w:tab w:val="num" w:pos="5760"/>
        </w:tabs>
        <w:ind w:left="5760" w:hanging="360"/>
      </w:pPr>
    </w:lvl>
    <w:lvl w:ilvl="8" w:tplc="9E989CB8" w:tentative="1">
      <w:start w:val="1"/>
      <w:numFmt w:val="decimal"/>
      <w:lvlText w:val="%9."/>
      <w:lvlJc w:val="left"/>
      <w:pPr>
        <w:tabs>
          <w:tab w:val="num" w:pos="6480"/>
        </w:tabs>
        <w:ind w:left="6480" w:hanging="360"/>
      </w:pPr>
    </w:lvl>
  </w:abstractNum>
  <w:abstractNum w:abstractNumId="3" w15:restartNumberingAfterBreak="0">
    <w:nsid w:val="26DF7882"/>
    <w:multiLevelType w:val="hybridMultilevel"/>
    <w:tmpl w:val="1AC69066"/>
    <w:lvl w:ilvl="0" w:tplc="FFFFFFFF">
      <w:start w:val="1"/>
      <w:numFmt w:val="decimal"/>
      <w:lvlText w:val="%1."/>
      <w:lvlJc w:val="left"/>
      <w:pPr>
        <w:ind w:left="720" w:hanging="360"/>
      </w:pPr>
    </w:lvl>
    <w:lvl w:ilvl="1" w:tplc="FFFFFFFF">
      <w:start w:val="1"/>
      <w:numFmt w:val="lowerLetter"/>
      <w:lvlText w:val="%2."/>
      <w:lvlJc w:val="left"/>
      <w:pPr>
        <w:ind w:left="1440" w:hanging="360"/>
      </w:pPr>
      <w:rPr>
        <w:b/>
        <w:bCs/>
      </w:rPr>
    </w:lvl>
    <w:lvl w:ilvl="2" w:tplc="FFFFFFFF">
      <w:start w:val="1"/>
      <w:numFmt w:val="lowerRoman"/>
      <w:lvlText w:val="%3."/>
      <w:lvlJc w:val="right"/>
      <w:pPr>
        <w:ind w:left="2160" w:hanging="180"/>
      </w:pPr>
      <w:rPr>
        <w:b/>
        <w:bCs/>
      </w:rPr>
    </w:lvl>
    <w:lvl w:ilvl="3" w:tplc="FFFFFFFF">
      <w:start w:val="1"/>
      <w:numFmt w:val="decimal"/>
      <w:lvlText w:val="%4."/>
      <w:lvlJc w:val="left"/>
      <w:pPr>
        <w:ind w:left="2880" w:hanging="360"/>
      </w:pPr>
      <w:rPr>
        <w:b/>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07470409">
    <w:abstractNumId w:val="1"/>
  </w:num>
  <w:num w:numId="2" w16cid:durableId="1473058836">
    <w:abstractNumId w:val="3"/>
  </w:num>
  <w:num w:numId="3" w16cid:durableId="757290313">
    <w:abstractNumId w:val="0"/>
  </w:num>
  <w:num w:numId="4" w16cid:durableId="18757311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C49"/>
    <w:rsid w:val="0002597B"/>
    <w:rsid w:val="0009404A"/>
    <w:rsid w:val="00195C14"/>
    <w:rsid w:val="001E1CA9"/>
    <w:rsid w:val="0023063C"/>
    <w:rsid w:val="00293325"/>
    <w:rsid w:val="002B3386"/>
    <w:rsid w:val="002F115A"/>
    <w:rsid w:val="00355F0E"/>
    <w:rsid w:val="00380653"/>
    <w:rsid w:val="004452DE"/>
    <w:rsid w:val="005A1D0F"/>
    <w:rsid w:val="005C65DE"/>
    <w:rsid w:val="00681C49"/>
    <w:rsid w:val="006F5EDC"/>
    <w:rsid w:val="00703D79"/>
    <w:rsid w:val="0073337B"/>
    <w:rsid w:val="007F740C"/>
    <w:rsid w:val="007F7E25"/>
    <w:rsid w:val="00832356"/>
    <w:rsid w:val="008639B3"/>
    <w:rsid w:val="0089512F"/>
    <w:rsid w:val="008B792F"/>
    <w:rsid w:val="009B4E46"/>
    <w:rsid w:val="00A553C8"/>
    <w:rsid w:val="00AB6DA2"/>
    <w:rsid w:val="00AC5F72"/>
    <w:rsid w:val="00B11908"/>
    <w:rsid w:val="00B62654"/>
    <w:rsid w:val="00CD460A"/>
    <w:rsid w:val="00D21A76"/>
    <w:rsid w:val="00DA268C"/>
    <w:rsid w:val="00E36798"/>
    <w:rsid w:val="00E94EE3"/>
    <w:rsid w:val="00EB41C6"/>
    <w:rsid w:val="00ED3EAE"/>
    <w:rsid w:val="00FE2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59554"/>
  <w15:chartTrackingRefBased/>
  <w15:docId w15:val="{DC642173-F829-4725-AB45-35CC3DEFA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C49"/>
    <w:rPr>
      <w:rFonts w:ascii="Times New Roman" w:hAnsi="Times New Roman" w:cs="Times New Roman"/>
    </w:rPr>
  </w:style>
  <w:style w:type="paragraph" w:styleId="Heading1">
    <w:name w:val="heading 1"/>
    <w:basedOn w:val="Normal"/>
    <w:next w:val="Normal"/>
    <w:link w:val="Heading1Char"/>
    <w:uiPriority w:val="9"/>
    <w:qFormat/>
    <w:rsid w:val="00681C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1C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1C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1C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1C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1C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1C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1C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1C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C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1C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1C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1C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1C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1C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1C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1C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1C49"/>
    <w:rPr>
      <w:rFonts w:eastAsiaTheme="majorEastAsia" w:cstheme="majorBidi"/>
      <w:color w:val="272727" w:themeColor="text1" w:themeTint="D8"/>
    </w:rPr>
  </w:style>
  <w:style w:type="paragraph" w:styleId="Title">
    <w:name w:val="Title"/>
    <w:basedOn w:val="Normal"/>
    <w:next w:val="Normal"/>
    <w:link w:val="TitleChar"/>
    <w:uiPriority w:val="10"/>
    <w:qFormat/>
    <w:rsid w:val="00681C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1C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1C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1C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1C49"/>
    <w:pPr>
      <w:spacing w:before="160"/>
      <w:jc w:val="center"/>
    </w:pPr>
    <w:rPr>
      <w:i/>
      <w:iCs/>
      <w:color w:val="404040" w:themeColor="text1" w:themeTint="BF"/>
    </w:rPr>
  </w:style>
  <w:style w:type="character" w:customStyle="1" w:styleId="QuoteChar">
    <w:name w:val="Quote Char"/>
    <w:basedOn w:val="DefaultParagraphFont"/>
    <w:link w:val="Quote"/>
    <w:uiPriority w:val="29"/>
    <w:rsid w:val="00681C49"/>
    <w:rPr>
      <w:i/>
      <w:iCs/>
      <w:color w:val="404040" w:themeColor="text1" w:themeTint="BF"/>
    </w:rPr>
  </w:style>
  <w:style w:type="paragraph" w:styleId="ListParagraph">
    <w:name w:val="List Paragraph"/>
    <w:basedOn w:val="Normal"/>
    <w:uiPriority w:val="34"/>
    <w:qFormat/>
    <w:rsid w:val="00681C49"/>
    <w:pPr>
      <w:ind w:left="720"/>
      <w:contextualSpacing/>
    </w:pPr>
  </w:style>
  <w:style w:type="character" w:styleId="IntenseEmphasis">
    <w:name w:val="Intense Emphasis"/>
    <w:basedOn w:val="DefaultParagraphFont"/>
    <w:uiPriority w:val="21"/>
    <w:qFormat/>
    <w:rsid w:val="00681C49"/>
    <w:rPr>
      <w:i/>
      <w:iCs/>
      <w:color w:val="2F5496" w:themeColor="accent1" w:themeShade="BF"/>
    </w:rPr>
  </w:style>
  <w:style w:type="paragraph" w:styleId="IntenseQuote">
    <w:name w:val="Intense Quote"/>
    <w:basedOn w:val="Normal"/>
    <w:next w:val="Normal"/>
    <w:link w:val="IntenseQuoteChar"/>
    <w:uiPriority w:val="30"/>
    <w:qFormat/>
    <w:rsid w:val="00681C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1C49"/>
    <w:rPr>
      <w:i/>
      <w:iCs/>
      <w:color w:val="2F5496" w:themeColor="accent1" w:themeShade="BF"/>
    </w:rPr>
  </w:style>
  <w:style w:type="character" w:styleId="IntenseReference">
    <w:name w:val="Intense Reference"/>
    <w:basedOn w:val="DefaultParagraphFont"/>
    <w:uiPriority w:val="32"/>
    <w:qFormat/>
    <w:rsid w:val="00681C49"/>
    <w:rPr>
      <w:b/>
      <w:bCs/>
      <w:smallCaps/>
      <w:color w:val="2F5496" w:themeColor="accent1" w:themeShade="BF"/>
      <w:spacing w:val="5"/>
    </w:rPr>
  </w:style>
  <w:style w:type="paragraph" w:styleId="NormalWeb">
    <w:name w:val="Normal (Web)"/>
    <w:basedOn w:val="Normal"/>
    <w:uiPriority w:val="99"/>
    <w:unhideWhenUsed/>
    <w:rsid w:val="00681C49"/>
    <w:pPr>
      <w:spacing w:before="100" w:beforeAutospacing="1" w:after="100" w:afterAutospacing="1" w:line="240" w:lineRule="auto"/>
    </w:pPr>
    <w:rPr>
      <w:rFonts w:eastAsia="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6610984">
      <w:bodyDiv w:val="1"/>
      <w:marLeft w:val="0"/>
      <w:marRight w:val="0"/>
      <w:marTop w:val="0"/>
      <w:marBottom w:val="0"/>
      <w:divBdr>
        <w:top w:val="none" w:sz="0" w:space="0" w:color="auto"/>
        <w:left w:val="none" w:sz="0" w:space="0" w:color="auto"/>
        <w:bottom w:val="none" w:sz="0" w:space="0" w:color="auto"/>
        <w:right w:val="none" w:sz="0" w:space="0" w:color="auto"/>
      </w:divBdr>
    </w:div>
    <w:div w:id="624197384">
      <w:bodyDiv w:val="1"/>
      <w:marLeft w:val="0"/>
      <w:marRight w:val="0"/>
      <w:marTop w:val="0"/>
      <w:marBottom w:val="0"/>
      <w:divBdr>
        <w:top w:val="none" w:sz="0" w:space="0" w:color="auto"/>
        <w:left w:val="none" w:sz="0" w:space="0" w:color="auto"/>
        <w:bottom w:val="none" w:sz="0" w:space="0" w:color="auto"/>
        <w:right w:val="none" w:sz="0" w:space="0" w:color="auto"/>
      </w:divBdr>
    </w:div>
    <w:div w:id="863250884">
      <w:bodyDiv w:val="1"/>
      <w:marLeft w:val="0"/>
      <w:marRight w:val="0"/>
      <w:marTop w:val="0"/>
      <w:marBottom w:val="0"/>
      <w:divBdr>
        <w:top w:val="none" w:sz="0" w:space="0" w:color="auto"/>
        <w:left w:val="none" w:sz="0" w:space="0" w:color="auto"/>
        <w:bottom w:val="none" w:sz="0" w:space="0" w:color="auto"/>
        <w:right w:val="none" w:sz="0" w:space="0" w:color="auto"/>
      </w:divBdr>
    </w:div>
    <w:div w:id="1290552251">
      <w:bodyDiv w:val="1"/>
      <w:marLeft w:val="0"/>
      <w:marRight w:val="0"/>
      <w:marTop w:val="0"/>
      <w:marBottom w:val="0"/>
      <w:divBdr>
        <w:top w:val="none" w:sz="0" w:space="0" w:color="auto"/>
        <w:left w:val="none" w:sz="0" w:space="0" w:color="auto"/>
        <w:bottom w:val="none" w:sz="0" w:space="0" w:color="auto"/>
        <w:right w:val="none" w:sz="0" w:space="0" w:color="auto"/>
      </w:divBdr>
      <w:divsChild>
        <w:div w:id="1155027088">
          <w:marLeft w:val="360"/>
          <w:marRight w:val="0"/>
          <w:marTop w:val="0"/>
          <w:marBottom w:val="0"/>
          <w:divBdr>
            <w:top w:val="none" w:sz="0" w:space="0" w:color="auto"/>
            <w:left w:val="none" w:sz="0" w:space="0" w:color="auto"/>
            <w:bottom w:val="none" w:sz="0" w:space="0" w:color="auto"/>
            <w:right w:val="none" w:sz="0" w:space="0" w:color="auto"/>
          </w:divBdr>
        </w:div>
      </w:divsChild>
    </w:div>
    <w:div w:id="1309439178">
      <w:bodyDiv w:val="1"/>
      <w:marLeft w:val="0"/>
      <w:marRight w:val="0"/>
      <w:marTop w:val="0"/>
      <w:marBottom w:val="0"/>
      <w:divBdr>
        <w:top w:val="none" w:sz="0" w:space="0" w:color="auto"/>
        <w:left w:val="none" w:sz="0" w:space="0" w:color="auto"/>
        <w:bottom w:val="none" w:sz="0" w:space="0" w:color="auto"/>
        <w:right w:val="none" w:sz="0" w:space="0" w:color="auto"/>
      </w:divBdr>
    </w:div>
    <w:div w:id="1756785725">
      <w:bodyDiv w:val="1"/>
      <w:marLeft w:val="0"/>
      <w:marRight w:val="0"/>
      <w:marTop w:val="0"/>
      <w:marBottom w:val="0"/>
      <w:divBdr>
        <w:top w:val="none" w:sz="0" w:space="0" w:color="auto"/>
        <w:left w:val="none" w:sz="0" w:space="0" w:color="auto"/>
        <w:bottom w:val="none" w:sz="0" w:space="0" w:color="auto"/>
        <w:right w:val="none" w:sz="0" w:space="0" w:color="auto"/>
      </w:divBdr>
    </w:div>
    <w:div w:id="1920866918">
      <w:bodyDiv w:val="1"/>
      <w:marLeft w:val="0"/>
      <w:marRight w:val="0"/>
      <w:marTop w:val="0"/>
      <w:marBottom w:val="0"/>
      <w:divBdr>
        <w:top w:val="none" w:sz="0" w:space="0" w:color="auto"/>
        <w:left w:val="none" w:sz="0" w:space="0" w:color="auto"/>
        <w:bottom w:val="none" w:sz="0" w:space="0" w:color="auto"/>
        <w:right w:val="none" w:sz="0" w:space="0" w:color="auto"/>
      </w:divBdr>
    </w:div>
    <w:div w:id="1928150507">
      <w:bodyDiv w:val="1"/>
      <w:marLeft w:val="0"/>
      <w:marRight w:val="0"/>
      <w:marTop w:val="0"/>
      <w:marBottom w:val="0"/>
      <w:divBdr>
        <w:top w:val="none" w:sz="0" w:space="0" w:color="auto"/>
        <w:left w:val="none" w:sz="0" w:space="0" w:color="auto"/>
        <w:bottom w:val="none" w:sz="0" w:space="0" w:color="auto"/>
        <w:right w:val="none" w:sz="0" w:space="0" w:color="auto"/>
      </w:divBdr>
    </w:div>
    <w:div w:id="2038846235">
      <w:bodyDiv w:val="1"/>
      <w:marLeft w:val="0"/>
      <w:marRight w:val="0"/>
      <w:marTop w:val="0"/>
      <w:marBottom w:val="0"/>
      <w:divBdr>
        <w:top w:val="none" w:sz="0" w:space="0" w:color="auto"/>
        <w:left w:val="none" w:sz="0" w:space="0" w:color="auto"/>
        <w:bottom w:val="none" w:sz="0" w:space="0" w:color="auto"/>
        <w:right w:val="none" w:sz="0" w:space="0" w:color="auto"/>
      </w:divBdr>
      <w:divsChild>
        <w:div w:id="352994478">
          <w:marLeft w:val="360"/>
          <w:marRight w:val="0"/>
          <w:marTop w:val="0"/>
          <w:marBottom w:val="0"/>
          <w:divBdr>
            <w:top w:val="none" w:sz="0" w:space="0" w:color="auto"/>
            <w:left w:val="none" w:sz="0" w:space="0" w:color="auto"/>
            <w:bottom w:val="none" w:sz="0" w:space="0" w:color="auto"/>
            <w:right w:val="none" w:sz="0" w:space="0" w:color="auto"/>
          </w:divBdr>
        </w:div>
        <w:div w:id="966855367">
          <w:marLeft w:val="360"/>
          <w:marRight w:val="0"/>
          <w:marTop w:val="0"/>
          <w:marBottom w:val="0"/>
          <w:divBdr>
            <w:top w:val="none" w:sz="0" w:space="0" w:color="auto"/>
            <w:left w:val="none" w:sz="0" w:space="0" w:color="auto"/>
            <w:bottom w:val="none" w:sz="0" w:space="0" w:color="auto"/>
            <w:right w:val="none" w:sz="0" w:space="0" w:color="auto"/>
          </w:divBdr>
        </w:div>
      </w:divsChild>
    </w:div>
    <w:div w:id="2133136870">
      <w:bodyDiv w:val="1"/>
      <w:marLeft w:val="0"/>
      <w:marRight w:val="0"/>
      <w:marTop w:val="0"/>
      <w:marBottom w:val="0"/>
      <w:divBdr>
        <w:top w:val="none" w:sz="0" w:space="0" w:color="auto"/>
        <w:left w:val="none" w:sz="0" w:space="0" w:color="auto"/>
        <w:bottom w:val="none" w:sz="0" w:space="0" w:color="auto"/>
        <w:right w:val="none" w:sz="0" w:space="0" w:color="auto"/>
      </w:divBdr>
      <w:divsChild>
        <w:div w:id="583995109">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bdb8662-8e58-4ce2-8f93-98280d5ba547">
      <Terms xmlns="http://schemas.microsoft.com/office/infopath/2007/PartnerControls"/>
    </lcf76f155ced4ddcb4097134ff3c332f>
    <SharedWithUsers xmlns="f95b840c-9fe6-4b81-93fa-feb0ed7bd6e5">
      <UserInfo>
        <DisplayName/>
        <AccountId xsi:nil="true"/>
        <AccountType/>
      </UserInfo>
    </SharedWithUsers>
    <MediaLengthInSeconds xmlns="2bdb8662-8e58-4ce2-8f93-98280d5ba547" xsi:nil="true"/>
    <Hyperlink xmlns="2bdb8662-8e58-4ce2-8f93-98280d5ba547">
      <Url xsi:nil="true"/>
      <Description xsi:nil="true"/>
    </Hyperlink>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052E94A9D0F24D93E363CBA30CF1E9" ma:contentTypeVersion="15" ma:contentTypeDescription="Create a new document." ma:contentTypeScope="" ma:versionID="ed4d62183b46fdef9eba613fb6bcb639">
  <xsd:schema xmlns:xsd="http://www.w3.org/2001/XMLSchema" xmlns:xs="http://www.w3.org/2001/XMLSchema" xmlns:p="http://schemas.microsoft.com/office/2006/metadata/properties" xmlns:ns2="2bdb8662-8e58-4ce2-8f93-98280d5ba547" xmlns:ns3="f95b840c-9fe6-4b81-93fa-feb0ed7bd6e5" targetNamespace="http://schemas.microsoft.com/office/2006/metadata/properties" ma:root="true" ma:fieldsID="f8fa8478d5655df4365ebd820522c919" ns2:_="" ns3:_="">
    <xsd:import namespace="2bdb8662-8e58-4ce2-8f93-98280d5ba547"/>
    <xsd:import namespace="f95b840c-9fe6-4b81-93fa-feb0ed7bd6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SearchProperties" minOccurs="0"/>
                <xsd:element ref="ns2:Hyper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b8662-8e58-4ce2-8f93-98280d5ba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Hyperlink" ma:index="22"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5b840c-9fe6-4b81-93fa-feb0ed7bd6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876012-AFA7-4ED8-A977-F61C83C73B26}">
  <ds:schemaRefs>
    <ds:schemaRef ds:uri="http://schemas.microsoft.com/sharepoint/v3/contenttype/forms"/>
  </ds:schemaRefs>
</ds:datastoreItem>
</file>

<file path=customXml/itemProps2.xml><?xml version="1.0" encoding="utf-8"?>
<ds:datastoreItem xmlns:ds="http://schemas.openxmlformats.org/officeDocument/2006/customXml" ds:itemID="{2494B471-5649-4097-9378-DE247C323368}">
  <ds:schemaRefs>
    <ds:schemaRef ds:uri="http://schemas.microsoft.com/office/2006/metadata/properties"/>
    <ds:schemaRef ds:uri="http://schemas.microsoft.com/office/infopath/2007/PartnerControls"/>
    <ds:schemaRef ds:uri="2bdb8662-8e58-4ce2-8f93-98280d5ba547"/>
    <ds:schemaRef ds:uri="f95b840c-9fe6-4b81-93fa-feb0ed7bd6e5"/>
  </ds:schemaRefs>
</ds:datastoreItem>
</file>

<file path=customXml/itemProps3.xml><?xml version="1.0" encoding="utf-8"?>
<ds:datastoreItem xmlns:ds="http://schemas.openxmlformats.org/officeDocument/2006/customXml" ds:itemID="{8F30C479-192E-417F-A2AB-27D9D6FA6FE4}"/>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1249</Words>
  <Characters>7120</Characters>
  <Application>Microsoft Office Word</Application>
  <DocSecurity>0</DocSecurity>
  <Lines>59</Lines>
  <Paragraphs>16</Paragraphs>
  <ScaleCrop>false</ScaleCrop>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Hooks, Joshua (ARPA-H)</dc:creator>
  <cp:keywords/>
  <dc:description/>
  <cp:lastModifiedBy>Lomelin, Shane (ARPA-H)</cp:lastModifiedBy>
  <cp:revision>4</cp:revision>
  <dcterms:created xsi:type="dcterms:W3CDTF">2024-08-14T20:56:00Z</dcterms:created>
  <dcterms:modified xsi:type="dcterms:W3CDTF">2024-09-09T12:26:00Z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0x010100A0052E94A9D0F24D93E363CBA30CF1E9</vt:lpwstr>
  </property>
  <property fmtid="{D5CDD505-2E9C-101B-9397-08002B2CF9AE}" pid="3" name="MediaServiceImageTags">
    <vt:lpwstr/>
  </property>
  <property fmtid="{D5CDD505-2E9C-101B-9397-08002B2CF9AE}" pid="4" name="Order">
    <vt:r8>335700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