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AE2260" w:rsidP="00BE05E8">
            <w:r w:rsidRPr="004922E6">
              <w:rPr>
                <w:highlight w:val="yellow"/>
              </w:rPr>
              <w:t>NPS-NOI</w:t>
            </w:r>
            <w:r w:rsidR="006541C8" w:rsidRPr="004922E6">
              <w:rPr>
                <w:highlight w:val="yellow"/>
              </w:rPr>
              <w:t>-</w:t>
            </w:r>
            <w:r w:rsidRPr="004922E6">
              <w:rPr>
                <w:highlight w:val="yellow"/>
              </w:rPr>
              <w:t>P11AT50423</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1B7F61" w:rsidP="00BE05E8">
            <w:r w:rsidRPr="001B7F61">
              <w:t>Ethnographic Overview and Assessment of Stones River National Battlefield</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1B7F61" w:rsidP="008C74A6">
            <w:r>
              <w:t>Middle Tennessee State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A2008C" w:rsidRDefault="001B7F61" w:rsidP="009220D5">
            <w:r w:rsidRPr="001B7F61">
              <w:t>Dr. William H. Leggett</w:t>
            </w:r>
          </w:p>
          <w:p w:rsidR="001B7F61" w:rsidRDefault="001B7F61" w:rsidP="001B7F61">
            <w:r>
              <w:t>Associate Professor of Anthropology</w:t>
            </w:r>
          </w:p>
          <w:p w:rsidR="001B7F61" w:rsidRDefault="001B7F61" w:rsidP="001B7F61">
            <w:r>
              <w:t>Department of Sociology and Anthropology</w:t>
            </w:r>
          </w:p>
          <w:p w:rsidR="001B7F61" w:rsidRDefault="001B7F61" w:rsidP="001B7F61">
            <w:r>
              <w:t>Middle Tennessee State University</w:t>
            </w:r>
          </w:p>
          <w:p w:rsidR="001B7F61" w:rsidRDefault="001B7F61" w:rsidP="001B7F61">
            <w:r>
              <w:t>615-904-8589</w:t>
            </w:r>
          </w:p>
          <w:p w:rsidR="001B7F61" w:rsidRPr="00D04D8B" w:rsidRDefault="001B7F61" w:rsidP="001B7F61">
            <w:r>
              <w:t>wleggett@mtsu.edu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1B7F61">
              <w:t>57,428.00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1B7F61" w:rsidP="004C7194">
            <w:r>
              <w:t>01/09/14 to 31/08/15</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1B7F61">
              <w:t>12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6A163F" w:rsidP="009220D5">
            <w:r>
              <w:t xml:space="preserve">Not applicable since </w:t>
            </w:r>
            <w:r w:rsidR="001B7F61">
              <w:t>competed for proposals.</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1B7F61" w:rsidRPr="001B7F61" w:rsidRDefault="001B7F61" w:rsidP="001B7F61">
      <w:pPr>
        <w:spacing w:after="200" w:line="276" w:lineRule="auto"/>
        <w:rPr>
          <w:rFonts w:ascii="Arial" w:eastAsia="Calibri" w:hAnsi="Arial" w:cs="Arial"/>
          <w:b/>
          <w:color w:val="000000"/>
          <w:sz w:val="20"/>
          <w:szCs w:val="20"/>
        </w:rPr>
      </w:pPr>
      <w:r w:rsidRPr="001B7F61">
        <w:rPr>
          <w:rFonts w:ascii="Arial" w:eastAsia="Calibri" w:hAnsi="Arial" w:cs="Arial"/>
          <w:b/>
          <w:bCs/>
          <w:color w:val="000000"/>
          <w:sz w:val="20"/>
          <w:szCs w:val="20"/>
        </w:rPr>
        <w:t xml:space="preserve">PROJECT OBJECTIVE(S): </w:t>
      </w:r>
      <w:r w:rsidRPr="001B7F61">
        <w:rPr>
          <w:rFonts w:ascii="Arial" w:eastAsia="Calibri" w:hAnsi="Arial" w:cs="Arial"/>
          <w:b/>
          <w:color w:val="000000"/>
          <w:sz w:val="20"/>
          <w:szCs w:val="20"/>
        </w:rPr>
        <w:t xml:space="preserve"> </w:t>
      </w:r>
    </w:p>
    <w:p w:rsidR="001B7F61" w:rsidRPr="001B7F61" w:rsidRDefault="001B7F61" w:rsidP="001B7F61">
      <w:pPr>
        <w:spacing w:after="200" w:line="276" w:lineRule="auto"/>
        <w:rPr>
          <w:rFonts w:ascii="Arial" w:eastAsia="Calibri" w:hAnsi="Arial"/>
          <w:color w:val="000000"/>
          <w:sz w:val="20"/>
        </w:rPr>
      </w:pPr>
      <w:r w:rsidRPr="001B7F61">
        <w:rPr>
          <w:rFonts w:ascii="Arial" w:eastAsia="Calibri" w:hAnsi="Arial"/>
          <w:color w:val="000000"/>
          <w:sz w:val="20"/>
        </w:rPr>
        <w:t>This scope of work addresses the need to conduct research to identify, document, and assess ethnographic resources within or near Stones River National Battlefield.  Broadly described, the Ethnographic Overview and Assessment (EOA) will be conducted to provide baseline data on traditionally associated groups, the park resources with which they are associated, and description of the traditional uses of and associations with these resources. This study will be completed by a qualified cultural anthropologist (or under the supervision of a qualified National Park Service (NPS) anthropologist) who will review existing information and identify additional data needs. Following NPS guidelines, the researcher will review, summarize and evaluate existing information derived from published and unpublished (archival) sources, supplemented by ethnographic interviews with knowledgeable members of associated groups and families. Ethnographic resources in and adjacent to the park will be documented with data suitable for entry into the Ethnographic Resources Inventory database.</w:t>
      </w:r>
    </w:p>
    <w:p w:rsidR="001B7F61" w:rsidRPr="001B7F61" w:rsidRDefault="001B7F61" w:rsidP="001B7F61">
      <w:pPr>
        <w:spacing w:after="200" w:line="276" w:lineRule="auto"/>
        <w:rPr>
          <w:rFonts w:ascii="Arial" w:eastAsia="Calibri" w:hAnsi="Arial"/>
          <w:color w:val="000000"/>
          <w:sz w:val="20"/>
        </w:rPr>
      </w:pPr>
      <w:r w:rsidRPr="001B7F61">
        <w:rPr>
          <w:rFonts w:ascii="Arial" w:eastAsia="Calibri" w:hAnsi="Arial"/>
          <w:color w:val="000000"/>
          <w:sz w:val="20"/>
        </w:rPr>
        <w:t>Project Purpose: In order to manage their cultural and natural resources in an effective, culturally informed manner, the National Park Service requires the documentation and analysis of ethnographic information regarding people with traditional and/or historic ties to specific park areas. Among other applications, ethnographic projects identify culturally sensitive areas and/or issues in order to develop and implement culturally appropriate resource management strategies. Ethnographic information helps park managers evaluate requests for access to culturally significant resources (both natural and cultural), to identify ethnographic resources that require special treatment, and to assess potential impacts on these resources in the face of any proposed park actions. The collection of ethnographic data also helps to identify places within or near parks that may meet eligibility requirements to be listed with the National Register of Historic Places. The project for Stones River National Battlefield is designed to address many of these needs.</w:t>
      </w:r>
    </w:p>
    <w:p w:rsidR="001B7F61" w:rsidRPr="001B7F61" w:rsidRDefault="001B7F61" w:rsidP="001B7F61">
      <w:pPr>
        <w:spacing w:after="200" w:line="276" w:lineRule="auto"/>
        <w:rPr>
          <w:rFonts w:ascii="Arial" w:eastAsia="Calibri" w:hAnsi="Arial"/>
          <w:color w:val="000000"/>
          <w:sz w:val="20"/>
        </w:rPr>
      </w:pPr>
      <w:r w:rsidRPr="001B7F61">
        <w:rPr>
          <w:rFonts w:ascii="Arial" w:eastAsia="Calibri" w:hAnsi="Arial"/>
          <w:color w:val="000000"/>
          <w:sz w:val="20"/>
        </w:rPr>
        <w:t>Specifically, the purpose of this study is to document the ongoing relationships between associated communities (long-term residents, neighbors/neighborhoods, religious groups, youth, and underrepresented ethnic/cultural groups, including African Americans, indigenous communities, women, commemorative and patriotic groups, etc.) that relates to the resources associated Stones River National Battlefield.  The study will identify groups who have both traditional and contemporary ties to the park. The study will identify resource uses and concerns that may affect the Service's management responsibilities for both natural and cultural resources located within the park boundaries. The results of the study will prepare managers to anticipate resource use issues that may affect their parks, and place them in a better position to understand and deal with such issues in the future</w:t>
      </w:r>
    </w:p>
    <w:p w:rsidR="001B7F61" w:rsidRPr="001B7F61" w:rsidRDefault="001B7F61" w:rsidP="001B7F61">
      <w:pPr>
        <w:spacing w:after="200" w:line="276" w:lineRule="auto"/>
        <w:rPr>
          <w:rFonts w:ascii="Arial" w:eastAsia="Calibri" w:hAnsi="Arial"/>
          <w:color w:val="000000"/>
          <w:sz w:val="20"/>
        </w:rPr>
      </w:pPr>
      <w:r w:rsidRPr="001B7F61">
        <w:rPr>
          <w:rFonts w:ascii="Arial" w:eastAsia="Calibri" w:hAnsi="Arial"/>
          <w:color w:val="000000"/>
          <w:sz w:val="20"/>
        </w:rPr>
        <w:t>Project Study Area: Although the major emphasis in this solicitation is primarily on the area of Stones River National Battlefield, it is understood that it may be necessary to collect data covering areas outside the formal boundary of the park in order to provide a meaningful cultural context for analysis. To provide this context, it may be necessary to collect data for areas that may or may not be visible from, or directly within the study areas but that can be shown to have a strong association with ethnographic resources within this National Park Service site. Consequently, the study area for this project is not necessarily confined strictly to the current boundaries of Stones River National Battlefield but will include the neighboring community of Murfreesboro, Tennessee.</w:t>
      </w:r>
    </w:p>
    <w:p w:rsidR="001B7F61" w:rsidRPr="001B7F61" w:rsidRDefault="001B7F61" w:rsidP="001B7F61">
      <w:pPr>
        <w:spacing w:after="200" w:line="276" w:lineRule="auto"/>
        <w:rPr>
          <w:rFonts w:ascii="Arial" w:eastAsia="Calibri" w:hAnsi="Arial" w:cs="Arial"/>
          <w:b/>
          <w:bCs/>
          <w:sz w:val="20"/>
          <w:szCs w:val="20"/>
        </w:rPr>
      </w:pPr>
      <w:r w:rsidRPr="001B7F61">
        <w:rPr>
          <w:rFonts w:ascii="Arial" w:eastAsia="Calibri" w:hAnsi="Arial" w:cs="Arial"/>
          <w:b/>
          <w:bCs/>
          <w:sz w:val="20"/>
          <w:szCs w:val="20"/>
        </w:rPr>
        <w:t>PROJECT BACKGROUND INFORMATION:</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Resources or places having cultural importance to specific groups, people, and communities are referred to by the National Park Service in this scope of work as ethnographic resources. An ethnographic resource is defined here as any natural or cultural resource, landscape, or natural feature linked by a subject ethnic community to the traditional practices, values, beliefs, history and/or ethnic identity of that community. It is the purpose of the solicited research to provide an inventory of these resources within a defined study area as they are reflected in existing records. The overview also requires site visits and/or interviews with representatives of selected affiliated ethnic communities. Information from this effort will result in an ethnographic report that will be used by park personnel to design organizational and culturally sensitive interpretation programs and materials, and to ensure that park planners fully consider any impacts to these resources that may result from proposed agency management actions.</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The Ethnographic Overview and Assessment is the first study programmed when park resources are known or thought to be traditionally associated with a contemporary organization, culture, or ethnic group(s). The overview reviews and summarizes existing ethnographic sources and data. It also provides a professional assessment or evaluation of these materials to identify data gaps relative to NPS information needs. In short, the study constitutes a synthesis of both available information and new information (through interviews) regarding ethnographic resources and park associated groups. When completed, this first overview serves as the baseline for determining the need for additional ethnographic work.</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On-site visits by members of affiliated cultural communities may be necessary to determine contemporary ties to the area and its resources. A detailed description of the cultural uses of places and natural resources will constitute an important element of the ethnographic research. Information gathered during consultation and/or site visits and interviews will use standard ethnographic methods to collect and document data to be used in this project.</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The research defined herein is to be performed in accordance with this scope-of-work and under the authority and requirements of the National Historic Preservation Act of 1966 as amended (PL 96-515); the Historic Sites Act of 1935 (PL 74-292); the American Indian Religious Freedom Act of 1978 (PL 95-341); the Native American Graves Protection and Repatriation Act of 1990 (PL 101-601); Executive Order 13007 “Indian Sacred Sites,” dated May 24, 1996; the Presidential Memorandum “Government to Government Relations with Native American Tribal Governments,” dated April 29, 1994; National Register Bulletin 38 “Guidelines for Evaluating and Documenting Traditional Cultural Properties”; the National Park Service’s Cultural Resources Management Guideline (NPS-28; release no. 5, 1998); the National Park Service’s Native American Relationships Management Policy (Federal Register, September 22, 1987): and other relevant laws, policies, and guidelines.</w:t>
      </w:r>
    </w:p>
    <w:p w:rsidR="001B7F61" w:rsidRPr="001B7F61" w:rsidRDefault="001B7F61" w:rsidP="001B7F61">
      <w:pPr>
        <w:spacing w:after="200" w:line="276" w:lineRule="auto"/>
        <w:rPr>
          <w:rFonts w:ascii="Arial" w:eastAsia="Calibri" w:hAnsi="Arial" w:cs="Arial"/>
          <w:b/>
          <w:bCs/>
          <w:color w:val="FF0000"/>
          <w:sz w:val="20"/>
          <w:szCs w:val="20"/>
        </w:rPr>
      </w:pPr>
    </w:p>
    <w:p w:rsidR="001B7F61" w:rsidRPr="001B7F61" w:rsidRDefault="001B7F61" w:rsidP="001B7F61">
      <w:pPr>
        <w:spacing w:after="200" w:line="276" w:lineRule="auto"/>
        <w:rPr>
          <w:rFonts w:ascii="Arial" w:eastAsia="Calibri" w:hAnsi="Arial" w:cs="Arial"/>
          <w:b/>
          <w:bCs/>
          <w:color w:val="000000"/>
          <w:sz w:val="20"/>
          <w:szCs w:val="20"/>
        </w:rPr>
      </w:pPr>
      <w:r w:rsidRPr="001B7F61">
        <w:rPr>
          <w:rFonts w:ascii="Arial" w:eastAsia="Calibri" w:hAnsi="Arial" w:cs="Arial"/>
          <w:b/>
          <w:bCs/>
          <w:color w:val="000000"/>
          <w:sz w:val="20"/>
          <w:szCs w:val="20"/>
        </w:rPr>
        <w:t>PROJECT TASK(S):</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The overall objective of this project is the preparation of an Ethnographic Overview and Assessment for Stones River National Battlefield. This documentation and evaluation of ethnographic resources will be used as input into park management plans and environmental assessment work, interpretation planning, as well as in other park resource-related management decisions.</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Nearby communities, some of which have areas acquired by the park, and associated families and potential descendants, are groups for which research is a priority project focus.   Additional focus could potentially include, but is not limited to indigenous groups, local government agencies, other culturally focused groups with resources and expertise and which are associated with the park, and the soldiers who served at the battlefield or in Murfreesboro during the Civil War (1861-1865).</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Specifically, the objectives of the study are to provide:</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1) A brief analysis of the relationship (if any) between the prehistoric record and the more recent historic uses of the parks’ places and resources by contemporary peoples.</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2) Identification of people(s) having potential or actual cultural affiliation with the land or with its natural and cultural resources to include activities, history, identity, way of life, and settlements found within or in close proximity of the National Battlefield;</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3) Narrative descriptions of previous ethnographic and historic descriptions and maps of organizational, cultural, and/or ethnic group(s) use of places or areas within or surrounding this National Battlefield, and the cultural significance of natural resources and physical environmental features;</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4) Narrative descriptions of contemporary use of resources, if known, including location, frequency of use, and nature of use. Some attention should be given to integrating existing archeological information with the ethnographic and historic record to provide an understanding of the continuity of use;</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5) An identification of places or landscapes within or surrounding the National Battlefield that may be eligible for listing on the National Register of Historic Places.</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6) A bibliography that supports the report document and meets management needs for ethnographic information on the National Battlefield and its associated ethnic communities;</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7) A record of consultations and interviews conducted to complete this work;</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8) A brief executive summary of the findings of the study, and a PowerPoint presentation of the summary of findings for presentation to the associated groups, park staff, and for management use;</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9) Recommendations for further studies as indicated by identified gaps in the ethnographic data.</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10) Aspects of culture and history park visitors should know in order to better understand Stones River National Battlefield’s ethnographic qualities and materials, such as letters, photographs, and artifacts that convey ethnographic messages;</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11) Exhibits, interpretation, and living history that could involve local people in presenting the park’s special qualities to the visiting public.</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12) Identify “newer” park neighbors that are not making use of the park due to various cultural reasons, or other structural factors, of which the park is unaware, in order to assist the park in developing appropriate and culturally informed procedures for reaching out to these communities and groups.</w:t>
      </w:r>
    </w:p>
    <w:p w:rsidR="001B7F61" w:rsidRPr="001B7F61" w:rsidRDefault="001B7F61" w:rsidP="001B7F61">
      <w:pPr>
        <w:spacing w:after="200" w:line="276" w:lineRule="auto"/>
        <w:rPr>
          <w:rFonts w:ascii="Arial" w:eastAsia="Calibri" w:hAnsi="Arial" w:cs="Arial"/>
          <w:bCs/>
          <w:sz w:val="20"/>
          <w:szCs w:val="20"/>
        </w:rPr>
      </w:pPr>
      <w:bookmarkStart w:id="0" w:name="_GoBack"/>
      <w:bookmarkEnd w:id="0"/>
      <w:r w:rsidRPr="001B7F61">
        <w:rPr>
          <w:rFonts w:ascii="Arial" w:eastAsia="Calibri" w:hAnsi="Arial" w:cs="Arial"/>
          <w:bCs/>
          <w:sz w:val="20"/>
          <w:szCs w:val="20"/>
        </w:rPr>
        <w:t>13) Describe the nature and significance of the community and longevity of association with the park of these park-associated neighborhoods and communities, and how their park uses may have changed over time.</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14) Develop information about the changes and trends in demographic characteristics of park associated communities and neighborhoods for the period 1861-2014, which corresponds with the time period since the beginning of the American Civil War.</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The overview will include a discussion of contemporary resource uses and the role these uses play in possible cultural patterns of the subject communities. It will also include, to the extent possible, considerations of archeological resource protection, specific information concerning the location of ethnographic resources within the study area, or directly related to the use of the study area.</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If specific geographic information is gathered using GPS technology, all resulting datasets need to have information documenting how the GPS data were collected. NPS requires that FGDC (Federal Geographic Data Committee, www.fgdc.gov/index.html) compliant metadata be written for all geospatial layers created (Executive Order 12906).</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Structure of Work</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 xml:space="preserve">The study will be conducted under the terms of a fixed-price contract. All costs associated with on-site visits, including travel and estimated number of days on site, transportation, lodging and meals, labor and professional costs, overhead and profit and the preparation and production of all draft and final reports shall be included in the quotation. </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Funding for this project will be provided over a one-year period. The project should be designated as a “standalone” effort to produce a final product. Work will be phased in the following manner:</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 xml:space="preserve">Work Phase I: Literature review and analysis: This phase will focus on a review and synthesis of existing </w:t>
      </w:r>
      <w:proofErr w:type="gramStart"/>
      <w:r w:rsidRPr="001B7F61">
        <w:rPr>
          <w:rFonts w:ascii="Arial" w:eastAsia="Calibri" w:hAnsi="Arial" w:cs="Arial"/>
          <w:bCs/>
          <w:sz w:val="20"/>
          <w:szCs w:val="20"/>
        </w:rPr>
        <w:t>historic,</w:t>
      </w:r>
      <w:proofErr w:type="gramEnd"/>
      <w:r w:rsidRPr="001B7F61">
        <w:rPr>
          <w:rFonts w:ascii="Arial" w:eastAsia="Calibri" w:hAnsi="Arial" w:cs="Arial"/>
          <w:bCs/>
          <w:sz w:val="20"/>
          <w:szCs w:val="20"/>
        </w:rPr>
        <w:t xml:space="preserve"> and ethnographic information related to affiliations with and use of this National Battlefield and its surrounding area. The historic and ethnographic analysis will provide a synthesis of existing literature and maps providing an overview of occupancy and use of lands and/or the region surrounding the park with a special emphasis on specific resource(s) use, if available. The annotated bibliography will include a component that lists repositories visited by the researcher and an analysis of the extent and viability of the materials contained in these collections as it relates to the site. This first phase will provide the background information necessary to determine likely affiliations with the study area. Some initial contact and fieldwork with associated peoples/communities is expected.</w:t>
      </w:r>
    </w:p>
    <w:p w:rsidR="001B7F61" w:rsidRPr="001B7F61" w:rsidRDefault="001B7F61" w:rsidP="001B7F61">
      <w:pPr>
        <w:spacing w:after="200" w:line="276" w:lineRule="auto"/>
        <w:rPr>
          <w:rFonts w:ascii="Arial" w:eastAsia="Calibri" w:hAnsi="Arial" w:cs="Arial"/>
          <w:bCs/>
          <w:sz w:val="20"/>
          <w:szCs w:val="20"/>
        </w:rPr>
      </w:pPr>
      <w:r w:rsidRPr="001B7F61">
        <w:rPr>
          <w:rFonts w:ascii="Arial" w:eastAsia="Calibri" w:hAnsi="Arial" w:cs="Arial"/>
          <w:bCs/>
          <w:sz w:val="20"/>
          <w:szCs w:val="20"/>
        </w:rPr>
        <w:t>Work Phase II: Data Collection on Contemporary Uses: This phase of the work will concentrate primarily on fieldwork, interviews, consultation and report preparation. Interviews and engagement with associated people and/or groups will utilize standard individual consent protocols with all interviewees.</w:t>
      </w:r>
    </w:p>
    <w:p w:rsidR="001B7F61" w:rsidRPr="001B7F61" w:rsidRDefault="001B7F61" w:rsidP="001B7F61">
      <w:pPr>
        <w:spacing w:after="200" w:line="276" w:lineRule="auto"/>
        <w:rPr>
          <w:rFonts w:ascii="Arial" w:eastAsia="Calibri" w:hAnsi="Arial"/>
          <w:color w:val="000000"/>
          <w:sz w:val="20"/>
        </w:rPr>
      </w:pPr>
      <w:r w:rsidRPr="001B7F61">
        <w:rPr>
          <w:rFonts w:ascii="Arial" w:eastAsia="Calibri" w:hAnsi="Arial" w:cs="Arial"/>
          <w:bCs/>
          <w:sz w:val="20"/>
          <w:szCs w:val="20"/>
        </w:rPr>
        <w:t>Work Phase III: This phase of the work will produce a report focusing on the results of the interviews and any other additional data collected during this period. This report will be integrated with the results of phases I and II work to produce a final report. Agency, tribal, and any possible public reviews of this draft final work will be completed during this phase.</w:t>
      </w:r>
    </w:p>
    <w:p w:rsidR="001B7F61" w:rsidRPr="001B7F61" w:rsidRDefault="001B7F61" w:rsidP="001B7F61">
      <w:pPr>
        <w:rPr>
          <w:rFonts w:ascii="Arial" w:eastAsia="Calibri" w:hAnsi="Arial"/>
          <w:b/>
          <w:bCs/>
          <w:color w:val="000000"/>
          <w:sz w:val="20"/>
        </w:rPr>
      </w:pPr>
      <w:r w:rsidRPr="001B7F61">
        <w:rPr>
          <w:rFonts w:ascii="Arial" w:eastAsia="Calibri" w:hAnsi="Arial"/>
          <w:b/>
          <w:bCs/>
          <w:color w:val="000000"/>
          <w:sz w:val="20"/>
        </w:rPr>
        <w:t>ROLE OF COOPERATOR IN THIS PROJECT:</w:t>
      </w:r>
    </w:p>
    <w:p w:rsidR="001B7F61" w:rsidRPr="001B7F61" w:rsidRDefault="001B7F61" w:rsidP="001B7F61">
      <w:pPr>
        <w:rPr>
          <w:rFonts w:ascii="Arial" w:eastAsia="Calibri" w:hAnsi="Arial"/>
          <w:bCs/>
          <w:color w:val="000000"/>
          <w:sz w:val="20"/>
        </w:rPr>
      </w:pPr>
      <w:r w:rsidRPr="001B7F61">
        <w:rPr>
          <w:rFonts w:ascii="Arial" w:eastAsia="Calibri" w:hAnsi="Arial"/>
          <w:bCs/>
          <w:color w:val="000000"/>
          <w:sz w:val="20"/>
        </w:rPr>
        <w:t>The Cooperator will:</w:t>
      </w:r>
    </w:p>
    <w:p w:rsidR="001B7F61" w:rsidRPr="001B7F61" w:rsidRDefault="001B7F61" w:rsidP="001B7F61">
      <w:pPr>
        <w:numPr>
          <w:ilvl w:val="0"/>
          <w:numId w:val="20"/>
        </w:numPr>
        <w:autoSpaceDE w:val="0"/>
        <w:autoSpaceDN w:val="0"/>
        <w:rPr>
          <w:rFonts w:ascii="Arial" w:eastAsia="Calibri" w:hAnsi="Arial"/>
          <w:bCs/>
          <w:color w:val="000000"/>
          <w:sz w:val="20"/>
        </w:rPr>
      </w:pPr>
      <w:r w:rsidRPr="001B7F61">
        <w:rPr>
          <w:rFonts w:ascii="Arial" w:eastAsia="Calibri" w:hAnsi="Arial"/>
          <w:bCs/>
          <w:color w:val="000000"/>
          <w:sz w:val="20"/>
        </w:rPr>
        <w:t>Conduct an ethnographic overview and assessment of Stones River National Battlefield which includes interviews, data collection and other assessment methods.</w:t>
      </w:r>
    </w:p>
    <w:p w:rsidR="001B7F61" w:rsidRPr="001B7F61" w:rsidRDefault="001B7F61" w:rsidP="001B7F61">
      <w:pPr>
        <w:numPr>
          <w:ilvl w:val="0"/>
          <w:numId w:val="20"/>
        </w:numPr>
        <w:autoSpaceDE w:val="0"/>
        <w:autoSpaceDN w:val="0"/>
        <w:rPr>
          <w:rFonts w:ascii="Arial" w:eastAsia="Calibri" w:hAnsi="Arial"/>
          <w:bCs/>
          <w:color w:val="000000"/>
          <w:sz w:val="20"/>
        </w:rPr>
      </w:pPr>
      <w:r w:rsidRPr="001B7F61">
        <w:rPr>
          <w:rFonts w:ascii="Arial" w:eastAsia="Calibri" w:hAnsi="Arial"/>
          <w:bCs/>
          <w:color w:val="000000"/>
          <w:sz w:val="20"/>
        </w:rPr>
        <w:t>Provide a narrative report focusing on a concise synthesis of the historic and ethnographic information on community ties to the National Historic Site and potential resources of cultural significance.</w:t>
      </w:r>
    </w:p>
    <w:p w:rsidR="001B7F61" w:rsidRPr="001B7F61" w:rsidRDefault="001B7F61" w:rsidP="001B7F61">
      <w:pPr>
        <w:numPr>
          <w:ilvl w:val="0"/>
          <w:numId w:val="20"/>
        </w:numPr>
        <w:autoSpaceDE w:val="0"/>
        <w:autoSpaceDN w:val="0"/>
        <w:rPr>
          <w:rFonts w:ascii="Arial" w:eastAsia="Calibri" w:hAnsi="Arial"/>
          <w:bCs/>
          <w:color w:val="000000"/>
          <w:sz w:val="20"/>
        </w:rPr>
      </w:pPr>
      <w:r w:rsidRPr="001B7F61">
        <w:rPr>
          <w:rFonts w:ascii="Arial" w:eastAsia="Calibri" w:hAnsi="Arial"/>
          <w:bCs/>
          <w:color w:val="000000"/>
          <w:sz w:val="20"/>
        </w:rPr>
        <w:t>Provide a narrative report will provide a synthesis of the data collected during this interview and consultation period.</w:t>
      </w:r>
    </w:p>
    <w:p w:rsidR="001B7F61" w:rsidRPr="001B7F61" w:rsidRDefault="001B7F61" w:rsidP="001B7F61">
      <w:pPr>
        <w:numPr>
          <w:ilvl w:val="0"/>
          <w:numId w:val="20"/>
        </w:numPr>
        <w:autoSpaceDE w:val="0"/>
        <w:autoSpaceDN w:val="0"/>
        <w:rPr>
          <w:rFonts w:ascii="Arial" w:eastAsia="Calibri" w:hAnsi="Arial"/>
          <w:bCs/>
          <w:color w:val="000000"/>
          <w:sz w:val="20"/>
        </w:rPr>
      </w:pPr>
      <w:r w:rsidRPr="001B7F61">
        <w:rPr>
          <w:rFonts w:ascii="Arial" w:eastAsia="Calibri" w:hAnsi="Arial"/>
          <w:bCs/>
          <w:color w:val="000000"/>
          <w:sz w:val="20"/>
        </w:rPr>
        <w:t>Provide a final report which combines Phase I and Phase II work.</w:t>
      </w:r>
    </w:p>
    <w:p w:rsidR="001B7F61" w:rsidRPr="001B7F61" w:rsidRDefault="001B7F61" w:rsidP="001B7F61">
      <w:pPr>
        <w:numPr>
          <w:ilvl w:val="0"/>
          <w:numId w:val="20"/>
        </w:numPr>
        <w:autoSpaceDE w:val="0"/>
        <w:autoSpaceDN w:val="0"/>
        <w:rPr>
          <w:rFonts w:ascii="Arial" w:eastAsia="Calibri" w:hAnsi="Arial"/>
          <w:bCs/>
          <w:color w:val="000000"/>
          <w:sz w:val="20"/>
        </w:rPr>
      </w:pPr>
      <w:r w:rsidRPr="001B7F61">
        <w:rPr>
          <w:rFonts w:ascii="Arial" w:eastAsia="Calibri" w:hAnsi="Arial"/>
          <w:bCs/>
          <w:color w:val="000000"/>
          <w:sz w:val="20"/>
        </w:rPr>
        <w:t>Provide quarterly progress reports.</w:t>
      </w:r>
    </w:p>
    <w:p w:rsidR="001B7F61" w:rsidRPr="001B7F61" w:rsidRDefault="001B7F61" w:rsidP="001B7F61">
      <w:pPr>
        <w:rPr>
          <w:rFonts w:ascii="Arial" w:eastAsia="Calibri" w:hAnsi="Arial"/>
          <w:bCs/>
          <w:color w:val="000000"/>
          <w:sz w:val="20"/>
        </w:rPr>
      </w:pPr>
    </w:p>
    <w:p w:rsidR="001B7F61" w:rsidRPr="001B7F61" w:rsidRDefault="001B7F61" w:rsidP="001B7F61">
      <w:pPr>
        <w:rPr>
          <w:rFonts w:ascii="Arial" w:eastAsia="Calibri" w:hAnsi="Arial"/>
          <w:b/>
          <w:bCs/>
          <w:color w:val="000000"/>
          <w:sz w:val="20"/>
        </w:rPr>
      </w:pPr>
    </w:p>
    <w:p w:rsidR="001B7F61" w:rsidRPr="001B7F61" w:rsidRDefault="001B7F61" w:rsidP="001B7F61">
      <w:pPr>
        <w:rPr>
          <w:rFonts w:ascii="Arial" w:eastAsia="Calibri" w:hAnsi="Arial"/>
          <w:b/>
          <w:bCs/>
          <w:color w:val="000000"/>
          <w:sz w:val="20"/>
        </w:rPr>
      </w:pPr>
      <w:r w:rsidRPr="001B7F61">
        <w:rPr>
          <w:rFonts w:ascii="Arial" w:eastAsia="Calibri" w:hAnsi="Arial"/>
          <w:b/>
          <w:bCs/>
          <w:color w:val="000000"/>
          <w:sz w:val="20"/>
        </w:rPr>
        <w:t>ROLE OF NPS IN THIS PROJECT:</w:t>
      </w:r>
    </w:p>
    <w:p w:rsidR="001B7F61" w:rsidRPr="001B7F61" w:rsidRDefault="001B7F61" w:rsidP="001B7F61">
      <w:pPr>
        <w:rPr>
          <w:rFonts w:ascii="Arial" w:eastAsia="Calibri" w:hAnsi="Arial"/>
          <w:bCs/>
          <w:color w:val="000000"/>
          <w:sz w:val="20"/>
        </w:rPr>
      </w:pPr>
      <w:r w:rsidRPr="001B7F61">
        <w:rPr>
          <w:rFonts w:ascii="Arial" w:eastAsia="Calibri" w:hAnsi="Arial"/>
          <w:bCs/>
          <w:color w:val="000000"/>
          <w:sz w:val="20"/>
        </w:rPr>
        <w:t>The NPS will:</w:t>
      </w:r>
    </w:p>
    <w:p w:rsidR="001B7F61" w:rsidRPr="001B7F61" w:rsidRDefault="001B7F61" w:rsidP="001B7F61">
      <w:pPr>
        <w:numPr>
          <w:ilvl w:val="0"/>
          <w:numId w:val="21"/>
        </w:numPr>
        <w:autoSpaceDE w:val="0"/>
        <w:autoSpaceDN w:val="0"/>
        <w:rPr>
          <w:rFonts w:ascii="Arial" w:eastAsia="Calibri" w:hAnsi="Arial"/>
          <w:bCs/>
          <w:color w:val="000000"/>
          <w:sz w:val="20"/>
        </w:rPr>
      </w:pPr>
      <w:r w:rsidRPr="001B7F61">
        <w:rPr>
          <w:rFonts w:ascii="Arial" w:eastAsia="Calibri" w:hAnsi="Arial"/>
          <w:bCs/>
          <w:color w:val="000000"/>
          <w:sz w:val="20"/>
        </w:rPr>
        <w:t>Facilitating any needed consultations.</w:t>
      </w:r>
    </w:p>
    <w:p w:rsidR="001B7F61" w:rsidRPr="001B7F61" w:rsidRDefault="001B7F61" w:rsidP="001B7F61">
      <w:pPr>
        <w:numPr>
          <w:ilvl w:val="0"/>
          <w:numId w:val="21"/>
        </w:numPr>
        <w:autoSpaceDE w:val="0"/>
        <w:autoSpaceDN w:val="0"/>
        <w:rPr>
          <w:rFonts w:ascii="Arial" w:eastAsia="Calibri" w:hAnsi="Arial"/>
          <w:bCs/>
          <w:color w:val="000000"/>
          <w:sz w:val="20"/>
        </w:rPr>
      </w:pPr>
      <w:r w:rsidRPr="001B7F61">
        <w:rPr>
          <w:rFonts w:ascii="Arial" w:eastAsia="Calibri" w:hAnsi="Arial"/>
          <w:bCs/>
          <w:color w:val="000000"/>
          <w:sz w:val="20"/>
        </w:rPr>
        <w:t>Providing access to ethno-historic research materials at the park.</w:t>
      </w:r>
    </w:p>
    <w:p w:rsidR="001B7F61" w:rsidRPr="001B7F61" w:rsidRDefault="001B7F61" w:rsidP="001B7F61">
      <w:pPr>
        <w:numPr>
          <w:ilvl w:val="0"/>
          <w:numId w:val="21"/>
        </w:numPr>
        <w:autoSpaceDE w:val="0"/>
        <w:autoSpaceDN w:val="0"/>
        <w:rPr>
          <w:rFonts w:ascii="Arial" w:eastAsia="Calibri" w:hAnsi="Arial"/>
          <w:bCs/>
          <w:color w:val="000000"/>
          <w:sz w:val="20"/>
        </w:rPr>
      </w:pPr>
      <w:r w:rsidRPr="001B7F61">
        <w:rPr>
          <w:rFonts w:ascii="Arial" w:eastAsia="Calibri" w:hAnsi="Arial"/>
          <w:bCs/>
          <w:color w:val="000000"/>
          <w:sz w:val="20"/>
        </w:rPr>
        <w:t>Assisting with interviews with present and former NPS employees</w:t>
      </w:r>
    </w:p>
    <w:p w:rsidR="001B7F61" w:rsidRPr="001B7F61" w:rsidRDefault="001B7F61" w:rsidP="001B7F61">
      <w:pPr>
        <w:numPr>
          <w:ilvl w:val="0"/>
          <w:numId w:val="21"/>
        </w:numPr>
        <w:autoSpaceDE w:val="0"/>
        <w:autoSpaceDN w:val="0"/>
        <w:rPr>
          <w:rFonts w:ascii="Arial" w:eastAsia="Calibri" w:hAnsi="Arial"/>
          <w:bCs/>
          <w:color w:val="000000"/>
          <w:sz w:val="20"/>
        </w:rPr>
      </w:pPr>
      <w:r w:rsidRPr="001B7F61">
        <w:rPr>
          <w:rFonts w:ascii="Arial" w:eastAsia="Calibri" w:hAnsi="Arial"/>
          <w:bCs/>
          <w:color w:val="000000"/>
          <w:sz w:val="20"/>
        </w:rPr>
        <w:t>Provide assistance with report preparation and publication.</w:t>
      </w:r>
    </w:p>
    <w:p w:rsidR="001B7F61" w:rsidRPr="001B7F61" w:rsidRDefault="001B7F61" w:rsidP="001B7F61">
      <w:pPr>
        <w:spacing w:after="200" w:line="276" w:lineRule="auto"/>
        <w:rPr>
          <w:rFonts w:ascii="Arial" w:eastAsia="Calibri" w:hAnsi="Arial"/>
          <w:bCs/>
          <w:color w:val="000000"/>
          <w:sz w:val="20"/>
        </w:rPr>
      </w:pPr>
    </w:p>
    <w:p w:rsidR="001B7F61" w:rsidRPr="001B7F61" w:rsidRDefault="001B7F61" w:rsidP="001B7F61">
      <w:pPr>
        <w:spacing w:after="200" w:line="276" w:lineRule="auto"/>
        <w:rPr>
          <w:rFonts w:ascii="Arial" w:eastAsia="Calibri" w:hAnsi="Arial" w:cs="Arial"/>
          <w:b/>
          <w:bCs/>
          <w:color w:val="000000"/>
          <w:sz w:val="20"/>
          <w:szCs w:val="20"/>
        </w:rPr>
      </w:pPr>
      <w:r w:rsidRPr="001B7F61">
        <w:rPr>
          <w:rFonts w:ascii="Arial" w:eastAsia="Calibri" w:hAnsi="Arial" w:cs="Arial"/>
          <w:b/>
          <w:bCs/>
          <w:color w:val="000000"/>
          <w:sz w:val="20"/>
          <w:szCs w:val="20"/>
        </w:rPr>
        <w:t>PROJECT PRODUCT(S):</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Deliverables for each phase of the work will include:</w:t>
      </w:r>
    </w:p>
    <w:p w:rsidR="001B7F61" w:rsidRPr="001B7F61" w:rsidRDefault="001B7F61" w:rsidP="001B7F61">
      <w:pPr>
        <w:spacing w:after="200" w:line="276" w:lineRule="auto"/>
        <w:rPr>
          <w:rFonts w:ascii="Arial" w:eastAsia="Calibri" w:hAnsi="Arial" w:cs="Arial"/>
          <w:bCs/>
          <w:color w:val="000000"/>
          <w:sz w:val="20"/>
          <w:szCs w:val="20"/>
        </w:rPr>
      </w:pPr>
      <w:proofErr w:type="gramStart"/>
      <w:r w:rsidRPr="001B7F61">
        <w:rPr>
          <w:rFonts w:ascii="Arial" w:eastAsia="Calibri" w:hAnsi="Arial" w:cs="Arial"/>
          <w:bCs/>
          <w:color w:val="000000"/>
          <w:sz w:val="20"/>
          <w:szCs w:val="20"/>
        </w:rPr>
        <w:t>Phase</w:t>
      </w:r>
      <w:proofErr w:type="gramEnd"/>
      <w:r w:rsidRPr="001B7F61">
        <w:rPr>
          <w:rFonts w:ascii="Arial" w:eastAsia="Calibri" w:hAnsi="Arial" w:cs="Arial"/>
          <w:bCs/>
          <w:color w:val="000000"/>
          <w:sz w:val="20"/>
          <w:szCs w:val="20"/>
        </w:rPr>
        <w:t xml:space="preserve"> I: A narrative report focusing on a concise synthesis of the historic and ethnographic information on community ties to the national battlefield and potential resources of cultural significance. This report will include a discussion of historic maps that show the association of the present park boundary (with archives and museums), and the extent these repositories were utilized and their potential for future researchers (i.e. what remains to be examined by future researchers). Five (5) copies of a draft report will be sent to the park office for review and comment. A final report will be prepared following a 30-day review and comment period. Three (3) copies of a final report will be provided to the park offices. An electronic copy of this report will also be prepared and delivered to the park. Formats of text and graphics will be determined during early discussions with the Stones River National Battlefield contacts following award.</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Phase II: A narrative report will provide a synthesis of the data collected during this interview and consultation period. This report will integrate the findings of Phase I work with the results of Phase II work. Pending tribal and individual permission, and available funding, interviews will be transcribed and included as appendices to this report. Disposition of the original tapes (if interviews are tape-recorded), and interview field notes will be determined in consultation with affected tribes and individual interviewees during the early period of this Phase II work.</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 xml:space="preserve">Phase III: Completion of the final report. Ten (10) copies of the draft of this report will be sent to the park for review and comment. Following a 30-day comment period, changes will be made to the report and fifteen (15) copies of the final report will be sent to the park. An electronic copy of this report will also be prepared and delivered to the park superintendent. Formats of text and graphics will be determined during early project discussions with NPS site personnel. </w:t>
      </w:r>
      <w:proofErr w:type="gramStart"/>
      <w:r w:rsidRPr="001B7F61">
        <w:rPr>
          <w:rFonts w:ascii="Arial" w:eastAsia="Calibri" w:hAnsi="Arial" w:cs="Arial"/>
          <w:bCs/>
          <w:color w:val="000000"/>
          <w:sz w:val="20"/>
          <w:szCs w:val="20"/>
        </w:rPr>
        <w:t>Included as part of this final report will be a PowerPoint presentation that summarizes the contents and findings of the final report.</w:t>
      </w:r>
      <w:proofErr w:type="gramEnd"/>
      <w:r w:rsidRPr="001B7F61">
        <w:rPr>
          <w:rFonts w:ascii="Arial" w:eastAsia="Calibri" w:hAnsi="Arial" w:cs="Arial"/>
          <w:bCs/>
          <w:color w:val="000000"/>
          <w:sz w:val="20"/>
          <w:szCs w:val="20"/>
        </w:rPr>
        <w:t xml:space="preserve"> An electronic copy of this presentation will be deliverable to the park staff at the conclusion of the project work.</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 xml:space="preserve">All reports and correspondence will be submitted to: </w:t>
      </w:r>
      <w:proofErr w:type="spellStart"/>
      <w:r w:rsidRPr="001B7F61">
        <w:rPr>
          <w:rFonts w:ascii="Arial" w:eastAsia="Calibri" w:hAnsi="Arial" w:cs="Arial"/>
          <w:bCs/>
          <w:color w:val="000000"/>
          <w:sz w:val="20"/>
          <w:szCs w:val="20"/>
        </w:rPr>
        <w:t>Gib</w:t>
      </w:r>
      <w:proofErr w:type="spellEnd"/>
      <w:r w:rsidRPr="001B7F61">
        <w:rPr>
          <w:rFonts w:ascii="Arial" w:eastAsia="Calibri" w:hAnsi="Arial" w:cs="Arial"/>
          <w:bCs/>
          <w:color w:val="000000"/>
          <w:sz w:val="20"/>
          <w:szCs w:val="20"/>
        </w:rPr>
        <w:t xml:space="preserve"> </w:t>
      </w:r>
      <w:proofErr w:type="spellStart"/>
      <w:r w:rsidRPr="001B7F61">
        <w:rPr>
          <w:rFonts w:ascii="Arial" w:eastAsia="Calibri" w:hAnsi="Arial" w:cs="Arial"/>
          <w:bCs/>
          <w:color w:val="000000"/>
          <w:sz w:val="20"/>
          <w:szCs w:val="20"/>
        </w:rPr>
        <w:t>Backlund</w:t>
      </w:r>
      <w:proofErr w:type="spellEnd"/>
      <w:r w:rsidRPr="001B7F61">
        <w:rPr>
          <w:rFonts w:ascii="Arial" w:eastAsia="Calibri" w:hAnsi="Arial" w:cs="Arial"/>
          <w:bCs/>
          <w:color w:val="000000"/>
          <w:sz w:val="20"/>
          <w:szCs w:val="20"/>
        </w:rPr>
        <w:t xml:space="preserve">, Chief of Operations, Stones River National Battlefield, and Antoinette Jackson, </w:t>
      </w:r>
      <w:proofErr w:type="spellStart"/>
      <w:r w:rsidRPr="001B7F61">
        <w:rPr>
          <w:rFonts w:ascii="Arial" w:eastAsia="Calibri" w:hAnsi="Arial" w:cs="Arial"/>
          <w:bCs/>
          <w:color w:val="000000"/>
          <w:sz w:val="20"/>
          <w:szCs w:val="20"/>
        </w:rPr>
        <w:t>Ph.D.</w:t>
      </w:r>
      <w:proofErr w:type="gramStart"/>
      <w:r w:rsidRPr="001B7F61">
        <w:rPr>
          <w:rFonts w:ascii="Arial" w:eastAsia="Calibri" w:hAnsi="Arial" w:cs="Arial"/>
          <w:bCs/>
          <w:color w:val="000000"/>
          <w:sz w:val="20"/>
          <w:szCs w:val="20"/>
        </w:rPr>
        <w:t>,the</w:t>
      </w:r>
      <w:proofErr w:type="spellEnd"/>
      <w:proofErr w:type="gramEnd"/>
      <w:r w:rsidRPr="001B7F61">
        <w:rPr>
          <w:rFonts w:ascii="Arial" w:eastAsia="Calibri" w:hAnsi="Arial" w:cs="Arial"/>
          <w:bCs/>
          <w:color w:val="000000"/>
          <w:sz w:val="20"/>
          <w:szCs w:val="20"/>
        </w:rPr>
        <w:t xml:space="preserve"> Regional Cultural Anthropologist and Ethnography Program Manager, Southeast Region Office, National Park Service. </w:t>
      </w:r>
      <w:proofErr w:type="spellStart"/>
      <w:r w:rsidRPr="001B7F61">
        <w:rPr>
          <w:rFonts w:ascii="Arial" w:eastAsia="Calibri" w:hAnsi="Arial" w:cs="Arial"/>
          <w:bCs/>
          <w:color w:val="000000"/>
          <w:sz w:val="20"/>
          <w:szCs w:val="20"/>
        </w:rPr>
        <w:t>Turkiya</w:t>
      </w:r>
      <w:proofErr w:type="spellEnd"/>
      <w:r w:rsidRPr="001B7F61">
        <w:rPr>
          <w:rFonts w:ascii="Arial" w:eastAsia="Calibri" w:hAnsi="Arial" w:cs="Arial"/>
          <w:bCs/>
          <w:color w:val="000000"/>
          <w:sz w:val="20"/>
          <w:szCs w:val="20"/>
        </w:rPr>
        <w:t xml:space="preserve"> L. Lowe, </w:t>
      </w:r>
      <w:proofErr w:type="spellStart"/>
      <w:r w:rsidRPr="001B7F61">
        <w:rPr>
          <w:rFonts w:ascii="Arial" w:eastAsia="Calibri" w:hAnsi="Arial" w:cs="Arial"/>
          <w:bCs/>
          <w:color w:val="000000"/>
          <w:sz w:val="20"/>
          <w:szCs w:val="20"/>
        </w:rPr>
        <w:t>Ph.D.</w:t>
      </w:r>
      <w:proofErr w:type="gramStart"/>
      <w:r w:rsidRPr="001B7F61">
        <w:rPr>
          <w:rFonts w:ascii="Arial" w:eastAsia="Calibri" w:hAnsi="Arial" w:cs="Arial"/>
          <w:bCs/>
          <w:color w:val="000000"/>
          <w:sz w:val="20"/>
          <w:szCs w:val="20"/>
        </w:rPr>
        <w:t>,Chief</w:t>
      </w:r>
      <w:proofErr w:type="spellEnd"/>
      <w:proofErr w:type="gramEnd"/>
      <w:r w:rsidRPr="001B7F61">
        <w:rPr>
          <w:rFonts w:ascii="Arial" w:eastAsia="Calibri" w:hAnsi="Arial" w:cs="Arial"/>
          <w:bCs/>
          <w:color w:val="000000"/>
          <w:sz w:val="20"/>
          <w:szCs w:val="20"/>
        </w:rPr>
        <w:t>, Research and Science Branch, Cultural Resources and  a certified ATR.</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Suggested General Structure of the Final Report</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The final report will consist of a narrative written in clear, concise language (generally non-technical) that can be used by planners, park managers, and other non-specialists that includes, but is not limited to:</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1) An Executive Summary of major findings, conclusions and issues;</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2) Table of Contents;</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3) Introduction with a discussion of study background and major study issues;</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4) Methodology - A detailed description of the project methodology, including each procedure</w:t>
      </w:r>
    </w:p>
    <w:p w:rsidR="001B7F61" w:rsidRPr="001B7F61" w:rsidRDefault="001B7F61" w:rsidP="001B7F61">
      <w:pPr>
        <w:spacing w:after="200" w:line="276" w:lineRule="auto"/>
        <w:rPr>
          <w:rFonts w:ascii="Arial" w:eastAsia="Calibri" w:hAnsi="Arial" w:cs="Arial"/>
          <w:bCs/>
          <w:color w:val="000000"/>
          <w:sz w:val="20"/>
          <w:szCs w:val="20"/>
        </w:rPr>
      </w:pPr>
      <w:proofErr w:type="gramStart"/>
      <w:r w:rsidRPr="001B7F61">
        <w:rPr>
          <w:rFonts w:ascii="Arial" w:eastAsia="Calibri" w:hAnsi="Arial" w:cs="Arial"/>
          <w:bCs/>
          <w:color w:val="000000"/>
          <w:sz w:val="20"/>
          <w:szCs w:val="20"/>
        </w:rPr>
        <w:t>used</w:t>
      </w:r>
      <w:proofErr w:type="gramEnd"/>
      <w:r w:rsidRPr="001B7F61">
        <w:rPr>
          <w:rFonts w:ascii="Arial" w:eastAsia="Calibri" w:hAnsi="Arial" w:cs="Arial"/>
          <w:bCs/>
          <w:color w:val="000000"/>
          <w:sz w:val="20"/>
          <w:szCs w:val="20"/>
        </w:rPr>
        <w:t>, types of data generated, and methods of analysis. The section will include the field</w:t>
      </w:r>
    </w:p>
    <w:p w:rsidR="001B7F61" w:rsidRPr="001B7F61" w:rsidRDefault="001B7F61" w:rsidP="001B7F61">
      <w:pPr>
        <w:spacing w:after="200" w:line="276" w:lineRule="auto"/>
        <w:rPr>
          <w:rFonts w:ascii="Arial" w:eastAsia="Calibri" w:hAnsi="Arial" w:cs="Arial"/>
          <w:bCs/>
          <w:color w:val="000000"/>
          <w:sz w:val="20"/>
          <w:szCs w:val="20"/>
        </w:rPr>
      </w:pPr>
      <w:proofErr w:type="gramStart"/>
      <w:r w:rsidRPr="001B7F61">
        <w:rPr>
          <w:rFonts w:ascii="Arial" w:eastAsia="Calibri" w:hAnsi="Arial" w:cs="Arial"/>
          <w:bCs/>
          <w:color w:val="000000"/>
          <w:sz w:val="20"/>
          <w:szCs w:val="20"/>
        </w:rPr>
        <w:t>research</w:t>
      </w:r>
      <w:proofErr w:type="gramEnd"/>
      <w:r w:rsidRPr="001B7F61">
        <w:rPr>
          <w:rFonts w:ascii="Arial" w:eastAsia="Calibri" w:hAnsi="Arial" w:cs="Arial"/>
          <w:bCs/>
          <w:color w:val="000000"/>
          <w:sz w:val="20"/>
          <w:szCs w:val="20"/>
        </w:rPr>
        <w:t xml:space="preserve"> and archival research methodologies, and define terminology, as needed;</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5) Sections providing Key Findings - primary study results and conclusions:</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 The basis for a group’s relationship with park resources; the general locale and type of resources that contemporary people value and use, the kind of uses, traditional or other bases for such use and value;</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 Information regarding relevant natural resources (e.g. plants) and cultural resources (e.g. sites, structures, objects, etc.), including frequency and nature of use; and</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6) Recommendations for additional ethnographic and historical research;</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7) References Cited;</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8) A report index (subject, person, event, etc.);</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9) Appendices (if needed)</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10) Maps, Illustrations, Tables, as needed.</w:t>
      </w:r>
    </w:p>
    <w:p w:rsidR="001B7F61" w:rsidRPr="001B7F61" w:rsidRDefault="001B7F61" w:rsidP="001B7F61">
      <w:pPr>
        <w:spacing w:after="200" w:line="276" w:lineRule="auto"/>
        <w:rPr>
          <w:rFonts w:ascii="Arial" w:eastAsia="Calibri" w:hAnsi="Arial" w:cs="Arial"/>
          <w:bCs/>
          <w:color w:val="000000"/>
          <w:sz w:val="20"/>
          <w:szCs w:val="20"/>
        </w:rPr>
      </w:pPr>
      <w:proofErr w:type="gramStart"/>
      <w:r w:rsidRPr="001B7F61">
        <w:rPr>
          <w:rFonts w:ascii="Arial" w:eastAsia="Calibri" w:hAnsi="Arial" w:cs="Arial"/>
          <w:bCs/>
          <w:color w:val="000000"/>
          <w:sz w:val="20"/>
          <w:szCs w:val="20"/>
        </w:rPr>
        <w:t>Supplemental Report Information (if applicable) - to be Presented separately in a Report Addendum.</w:t>
      </w:r>
      <w:proofErr w:type="gramEnd"/>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The items below will be presented separately, as an addendum to the final report, in order to ensure the limited distribution and confidentiality of information:</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1) As appropriate, a list of specific locations of archeologically sensitive resources for use only by the superintendent and management staff of the site.</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2) If consultation or interviews with members of affiliated communities does take place, a list will be provided along with addresses of individuals consulted. Only the names and addresses of consultants who wish to be individually identified should be included.</w:t>
      </w:r>
    </w:p>
    <w:p w:rsidR="001B7F61" w:rsidRPr="001B7F61" w:rsidRDefault="001B7F61" w:rsidP="001B7F61">
      <w:pPr>
        <w:spacing w:after="200" w:line="276" w:lineRule="auto"/>
        <w:rPr>
          <w:rFonts w:ascii="Arial" w:eastAsia="Calibri" w:hAnsi="Arial" w:cs="Arial"/>
          <w:bCs/>
          <w:color w:val="000000"/>
          <w:sz w:val="20"/>
          <w:szCs w:val="20"/>
        </w:rPr>
      </w:pPr>
      <w:r w:rsidRPr="001B7F61">
        <w:rPr>
          <w:rFonts w:ascii="Arial" w:eastAsia="Calibri" w:hAnsi="Arial" w:cs="Arial"/>
          <w:bCs/>
          <w:color w:val="000000"/>
          <w:sz w:val="20"/>
          <w:szCs w:val="20"/>
        </w:rPr>
        <w:t>3) A list of community individuals, to include current and former park staff, with knowledge that bears on relationships between park resources, associated groups, and the study findings, and with interest in being considered for future consultations by park management.</w:t>
      </w:r>
    </w:p>
    <w:p w:rsidR="001B7F61" w:rsidRPr="001B7F61" w:rsidRDefault="001B7F61" w:rsidP="001B7F61">
      <w:pPr>
        <w:spacing w:after="200" w:line="276" w:lineRule="auto"/>
        <w:rPr>
          <w:rFonts w:ascii="Arial" w:eastAsia="Calibri" w:hAnsi="Arial" w:cs="Arial"/>
          <w:b/>
          <w:bCs/>
          <w:color w:val="000000"/>
          <w:sz w:val="20"/>
          <w:szCs w:val="20"/>
        </w:rPr>
      </w:pPr>
      <w:r w:rsidRPr="001B7F61">
        <w:rPr>
          <w:rFonts w:ascii="Arial" w:eastAsia="Calibri" w:hAnsi="Arial" w:cs="Arial"/>
          <w:b/>
          <w:bCs/>
          <w:color w:val="000000"/>
          <w:sz w:val="20"/>
          <w:szCs w:val="20"/>
        </w:rPr>
        <w:t xml:space="preserve">PROJECT SCHEDULE:   </w:t>
      </w:r>
    </w:p>
    <w:p w:rsidR="001B7F61" w:rsidRPr="001B7F61" w:rsidRDefault="001B7F61" w:rsidP="001B7F61">
      <w:pPr>
        <w:tabs>
          <w:tab w:val="left" w:pos="-1440"/>
          <w:tab w:val="left" w:pos="-720"/>
          <w:tab w:val="left" w:pos="5040"/>
        </w:tabs>
        <w:suppressAutoHyphens/>
        <w:spacing w:after="200" w:line="276" w:lineRule="auto"/>
        <w:rPr>
          <w:rFonts w:ascii="Arial" w:eastAsia="Calibri" w:hAnsi="Arial" w:cs="Arial"/>
          <w:color w:val="000000"/>
          <w:sz w:val="20"/>
          <w:szCs w:val="20"/>
        </w:rPr>
      </w:pPr>
      <w:r w:rsidRPr="001B7F61">
        <w:rPr>
          <w:rFonts w:ascii="Arial" w:eastAsia="Calibri" w:hAnsi="Arial" w:cs="Arial"/>
          <w:color w:val="000000"/>
          <w:sz w:val="20"/>
          <w:szCs w:val="20"/>
        </w:rPr>
        <w:t>The period of performance shall be from September 1, 2014 to August 31, 2015.</w:t>
      </w:r>
    </w:p>
    <w:p w:rsidR="001B7F61" w:rsidRPr="001B7F61" w:rsidRDefault="001B7F61" w:rsidP="001B7F61">
      <w:pPr>
        <w:tabs>
          <w:tab w:val="left" w:pos="-1440"/>
          <w:tab w:val="left" w:pos="-720"/>
          <w:tab w:val="left" w:pos="5040"/>
        </w:tabs>
        <w:suppressAutoHyphens/>
        <w:spacing w:after="200" w:line="276" w:lineRule="auto"/>
        <w:rPr>
          <w:rFonts w:ascii="Arial" w:eastAsia="Calibri" w:hAnsi="Arial" w:cs="Arial"/>
          <w:b/>
          <w:color w:val="000000"/>
          <w:sz w:val="20"/>
          <w:szCs w:val="20"/>
        </w:rPr>
      </w:pPr>
      <w:r w:rsidRPr="001B7F61">
        <w:rPr>
          <w:rFonts w:ascii="Arial" w:eastAsia="Calibri" w:hAnsi="Arial" w:cs="Arial"/>
          <w:b/>
          <w:color w:val="000000"/>
          <w:sz w:val="20"/>
          <w:szCs w:val="20"/>
        </w:rPr>
        <w:t>FURNISHED PROPERTY / OTHER CONSIDERATIONS:</w:t>
      </w:r>
    </w:p>
    <w:p w:rsidR="009E57B9" w:rsidRPr="002A670B" w:rsidRDefault="001B7F61" w:rsidP="001B7F61">
      <w:pPr>
        <w:spacing w:after="200" w:line="276" w:lineRule="auto"/>
        <w:rPr>
          <w:b/>
        </w:rPr>
      </w:pPr>
      <w:proofErr w:type="gramStart"/>
      <w:r w:rsidRPr="001B7F61">
        <w:rPr>
          <w:rFonts w:ascii="Arial" w:eastAsia="Calibri" w:hAnsi="Arial" w:cs="Arial"/>
          <w:sz w:val="20"/>
          <w:szCs w:val="20"/>
        </w:rPr>
        <w:t>None.</w:t>
      </w:r>
      <w:proofErr w:type="gramEnd"/>
    </w:p>
    <w:sectPr w:rsidR="009E57B9" w:rsidRPr="002A670B"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885" w:rsidRDefault="00DF5885">
      <w:r>
        <w:separator/>
      </w:r>
    </w:p>
  </w:endnote>
  <w:endnote w:type="continuationSeparator" w:id="0">
    <w:p w:rsidR="00DF5885" w:rsidRDefault="00DF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803050406030204"/>
    <w:charset w:val="00"/>
    <w:family w:val="roman"/>
    <w:pitch w:val="variable"/>
    <w:sig w:usb0="E00002FF" w:usb1="4000045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885" w:rsidRDefault="00DF5885">
      <w:r>
        <w:separator/>
      </w:r>
    </w:p>
  </w:footnote>
  <w:footnote w:type="continuationSeparator" w:id="0">
    <w:p w:rsidR="00DF5885" w:rsidRDefault="00DF58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56B7B70"/>
    <w:multiLevelType w:val="hybridMultilevel"/>
    <w:tmpl w:val="9FCCD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C96B3B"/>
    <w:multiLevelType w:val="hybridMultilevel"/>
    <w:tmpl w:val="07408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8"/>
  </w:num>
  <w:num w:numId="3">
    <w:abstractNumId w:val="0"/>
  </w:num>
  <w:num w:numId="4">
    <w:abstractNumId w:val="7"/>
  </w:num>
  <w:num w:numId="5">
    <w:abstractNumId w:val="5"/>
  </w:num>
  <w:num w:numId="6">
    <w:abstractNumId w:val="17"/>
  </w:num>
  <w:num w:numId="7">
    <w:abstractNumId w:val="13"/>
  </w:num>
  <w:num w:numId="8">
    <w:abstractNumId w:val="19"/>
  </w:num>
  <w:num w:numId="9">
    <w:abstractNumId w:val="12"/>
  </w:num>
  <w:num w:numId="10">
    <w:abstractNumId w:val="3"/>
  </w:num>
  <w:num w:numId="11">
    <w:abstractNumId w:val="16"/>
  </w:num>
  <w:num w:numId="12">
    <w:abstractNumId w:val="10"/>
  </w:num>
  <w:num w:numId="13">
    <w:abstractNumId w:val="11"/>
  </w:num>
  <w:num w:numId="14">
    <w:abstractNumId w:val="4"/>
  </w:num>
  <w:num w:numId="15">
    <w:abstractNumId w:val="6"/>
  </w:num>
  <w:num w:numId="16">
    <w:abstractNumId w:val="20"/>
  </w:num>
  <w:num w:numId="17">
    <w:abstractNumId w:val="9"/>
  </w:num>
  <w:num w:numId="18">
    <w:abstractNumId w:val="1"/>
  </w:num>
  <w:num w:numId="19">
    <w:abstractNumId w:val="2"/>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B7F61"/>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5885"/>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3185</Words>
  <Characters>18158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21301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Albright, Ray</cp:lastModifiedBy>
  <cp:revision>8</cp:revision>
  <cp:lastPrinted>2011-06-08T14:48:00Z</cp:lastPrinted>
  <dcterms:created xsi:type="dcterms:W3CDTF">2013-05-13T19:30:00Z</dcterms:created>
  <dcterms:modified xsi:type="dcterms:W3CDTF">2014-07-31T18:26:00Z</dcterms:modified>
</cp:coreProperties>
</file>